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5AAA4" w14:textId="4503B88E" w:rsidR="0098320D" w:rsidRPr="00937A9A" w:rsidRDefault="0098320D" w:rsidP="0098320D">
      <w:pPr>
        <w:rPr>
          <w:b/>
          <w:bCs/>
        </w:rPr>
      </w:pPr>
      <w:r w:rsidRPr="00937A9A">
        <w:rPr>
          <w:b/>
          <w:bCs/>
        </w:rPr>
        <w:t>OCEAN CHARTER 2</w:t>
      </w:r>
      <w:r w:rsidR="00B27CEB">
        <w:rPr>
          <w:b/>
          <w:bCs/>
        </w:rPr>
        <w:t>5-26</w:t>
      </w:r>
      <w:r w:rsidRPr="00937A9A">
        <w:rPr>
          <w:b/>
          <w:bCs/>
        </w:rPr>
        <w:t xml:space="preserve"> BUDGET </w:t>
      </w:r>
      <w:r w:rsidR="0011473E" w:rsidRPr="00937A9A">
        <w:rPr>
          <w:b/>
          <w:bCs/>
        </w:rPr>
        <w:t>ASSUMPTIONS</w:t>
      </w:r>
      <w:r w:rsidR="0011473E">
        <w:rPr>
          <w:b/>
          <w:bCs/>
        </w:rPr>
        <w:t xml:space="preserve"> -</w:t>
      </w:r>
      <w:r w:rsidR="00582E6E">
        <w:rPr>
          <w:b/>
          <w:bCs/>
        </w:rPr>
        <w:t xml:space="preserve"> (</w:t>
      </w:r>
      <w:r w:rsidR="00DC15D8" w:rsidRPr="00C33100">
        <w:rPr>
          <w:b/>
          <w:bCs/>
          <w:color w:val="5B9BD5" w:themeColor="accent1"/>
        </w:rPr>
        <w:t>u</w:t>
      </w:r>
      <w:r w:rsidR="00582E6E" w:rsidRPr="00C33100">
        <w:rPr>
          <w:b/>
          <w:bCs/>
          <w:color w:val="5B9BD5" w:themeColor="accent1"/>
        </w:rPr>
        <w:t>pdates since last meeting in blue</w:t>
      </w:r>
      <w:r w:rsidR="00582E6E">
        <w:rPr>
          <w:b/>
          <w:bCs/>
        </w:rPr>
        <w:t>)</w:t>
      </w:r>
    </w:p>
    <w:p w14:paraId="29DC15F1" w14:textId="6CE2B3B6" w:rsidR="00652D56" w:rsidRPr="007055CF" w:rsidRDefault="0098320D" w:rsidP="00652D56">
      <w:pPr>
        <w:pStyle w:val="ListParagraph"/>
        <w:numPr>
          <w:ilvl w:val="0"/>
          <w:numId w:val="1"/>
        </w:numPr>
        <w:rPr>
          <w:color w:val="5B9BD5" w:themeColor="accent1"/>
        </w:rPr>
      </w:pPr>
      <w:r>
        <w:t>Enrollment – 558</w:t>
      </w:r>
      <w:r w:rsidR="00652D56">
        <w:t xml:space="preserve">, ADA rate – </w:t>
      </w:r>
      <w:r w:rsidR="00652D56" w:rsidRPr="007055CF">
        <w:rPr>
          <w:color w:val="5B9BD5" w:themeColor="accent1"/>
        </w:rPr>
        <w:t>94</w:t>
      </w:r>
      <w:r w:rsidR="00DC15D8" w:rsidRPr="007055CF">
        <w:rPr>
          <w:color w:val="5B9BD5" w:themeColor="accent1"/>
        </w:rPr>
        <w:t>.5</w:t>
      </w:r>
      <w:r w:rsidR="00652D56" w:rsidRPr="007055CF">
        <w:rPr>
          <w:color w:val="5B9BD5" w:themeColor="accent1"/>
        </w:rPr>
        <w:t>%</w:t>
      </w:r>
      <w:r w:rsidR="00DC15D8" w:rsidRPr="007055CF">
        <w:rPr>
          <w:color w:val="5B9BD5" w:themeColor="accent1"/>
        </w:rPr>
        <w:t xml:space="preserve"> (prev</w:t>
      </w:r>
      <w:r w:rsidR="007055CF" w:rsidRPr="007055CF">
        <w:rPr>
          <w:color w:val="5B9BD5" w:themeColor="accent1"/>
        </w:rPr>
        <w:t xml:space="preserve">. </w:t>
      </w:r>
      <w:r w:rsidR="00DC15D8" w:rsidRPr="007055CF">
        <w:rPr>
          <w:color w:val="5B9BD5" w:themeColor="accent1"/>
        </w:rPr>
        <w:t>94%)</w:t>
      </w:r>
    </w:p>
    <w:p w14:paraId="709484FD" w14:textId="6AD8788C" w:rsidR="0098320D" w:rsidRPr="00D258FA" w:rsidRDefault="0098320D" w:rsidP="0098320D">
      <w:pPr>
        <w:pStyle w:val="ListParagraph"/>
        <w:numPr>
          <w:ilvl w:val="0"/>
          <w:numId w:val="1"/>
        </w:numPr>
      </w:pPr>
      <w:r w:rsidRPr="00D258FA">
        <w:t xml:space="preserve">Revenue COLA – </w:t>
      </w:r>
      <w:r w:rsidR="0027010F">
        <w:t>2.43</w:t>
      </w:r>
      <w:r w:rsidR="00070627" w:rsidRPr="00D258FA">
        <w:t>%</w:t>
      </w:r>
      <w:r w:rsidR="00C11FE2" w:rsidRPr="00D258FA">
        <w:t xml:space="preserve"> </w:t>
      </w:r>
    </w:p>
    <w:p w14:paraId="0CBED38D" w14:textId="10A9B0F2" w:rsidR="00064991" w:rsidRDefault="008D37B6" w:rsidP="0098320D">
      <w:pPr>
        <w:pStyle w:val="ListParagraph"/>
        <w:numPr>
          <w:ilvl w:val="0"/>
          <w:numId w:val="1"/>
        </w:numPr>
      </w:pPr>
      <w:r>
        <w:t xml:space="preserve">Grant </w:t>
      </w:r>
      <w:r w:rsidR="00064991">
        <w:t>Revenues included:</w:t>
      </w:r>
    </w:p>
    <w:p w14:paraId="3982F680" w14:textId="413B5924" w:rsidR="007548D1" w:rsidRDefault="00064991" w:rsidP="00064991">
      <w:pPr>
        <w:pStyle w:val="ListParagraph"/>
        <w:numPr>
          <w:ilvl w:val="1"/>
          <w:numId w:val="1"/>
        </w:numPr>
      </w:pPr>
      <w:r w:rsidRPr="00D258FA">
        <w:t>ELO-P - $</w:t>
      </w:r>
      <w:r w:rsidR="0027010F">
        <w:t>206,286</w:t>
      </w:r>
    </w:p>
    <w:p w14:paraId="7747CE68" w14:textId="07AC808C" w:rsidR="00D056E1" w:rsidRDefault="008F2188" w:rsidP="008F2188">
      <w:pPr>
        <w:pStyle w:val="ListParagraph"/>
        <w:numPr>
          <w:ilvl w:val="2"/>
          <w:numId w:val="1"/>
        </w:numPr>
      </w:pPr>
      <w:r w:rsidRPr="0027010F">
        <w:t>2</w:t>
      </w:r>
      <w:r w:rsidR="0027010F" w:rsidRPr="0027010F">
        <w:t>5-26</w:t>
      </w:r>
      <w:r w:rsidRPr="0027010F">
        <w:t xml:space="preserve"> entitlement - $</w:t>
      </w:r>
      <w:r w:rsidR="0027010F" w:rsidRPr="0027010F">
        <w:t>20</w:t>
      </w:r>
      <w:r w:rsidR="00FB0E80">
        <w:t>5,458</w:t>
      </w:r>
    </w:p>
    <w:p w14:paraId="62821583" w14:textId="4B6B2D11" w:rsidR="008F2188" w:rsidRPr="0027010F" w:rsidRDefault="00D056E1" w:rsidP="008F2188">
      <w:pPr>
        <w:pStyle w:val="ListParagraph"/>
        <w:numPr>
          <w:ilvl w:val="2"/>
          <w:numId w:val="1"/>
        </w:numPr>
      </w:pPr>
      <w:r>
        <w:t>C</w:t>
      </w:r>
      <w:r w:rsidR="00BC3A6B" w:rsidRPr="0027010F">
        <w:t>arryover</w:t>
      </w:r>
      <w:r w:rsidR="008F2188" w:rsidRPr="0027010F">
        <w:t xml:space="preserve"> from 2</w:t>
      </w:r>
      <w:r w:rsidR="0027010F" w:rsidRPr="0027010F">
        <w:t>4-25</w:t>
      </w:r>
      <w:r w:rsidR="008F2188" w:rsidRPr="0027010F">
        <w:t xml:space="preserve"> - $</w:t>
      </w:r>
      <w:r w:rsidR="00204B75">
        <w:t>51,431</w:t>
      </w:r>
      <w:r>
        <w:t>,</w:t>
      </w:r>
      <w:r w:rsidR="008F2188" w:rsidRPr="00506D10">
        <w:t xml:space="preserve"> </w:t>
      </w:r>
      <w:r w:rsidR="009C1712" w:rsidRPr="0027010F">
        <w:t>carryover</w:t>
      </w:r>
      <w:r w:rsidR="008F2188" w:rsidRPr="0027010F">
        <w:t xml:space="preserve"> allowed up to 2 years.</w:t>
      </w:r>
    </w:p>
    <w:p w14:paraId="4D8CC7CD" w14:textId="47DDFD56" w:rsidR="00064991" w:rsidRDefault="00064991" w:rsidP="00064991">
      <w:pPr>
        <w:pStyle w:val="ListParagraph"/>
        <w:numPr>
          <w:ilvl w:val="1"/>
          <w:numId w:val="1"/>
        </w:numPr>
      </w:pPr>
      <w:r>
        <w:t xml:space="preserve">Educator Effectiveness - </w:t>
      </w:r>
      <w:r w:rsidR="00204B75" w:rsidRPr="00204B75">
        <w:rPr>
          <w:color w:val="5B9BD5" w:themeColor="accent1"/>
        </w:rPr>
        <w:t>$</w:t>
      </w:r>
      <w:r w:rsidR="00946810">
        <w:rPr>
          <w:color w:val="5B9BD5" w:themeColor="accent1"/>
        </w:rPr>
        <w:t>49,209</w:t>
      </w:r>
      <w:r w:rsidR="00204B75" w:rsidRPr="00204B75">
        <w:rPr>
          <w:color w:val="5B9BD5" w:themeColor="accent1"/>
        </w:rPr>
        <w:t xml:space="preserve"> (prev. </w:t>
      </w:r>
      <w:r w:rsidRPr="00204B75">
        <w:rPr>
          <w:color w:val="5B9BD5" w:themeColor="accent1"/>
        </w:rPr>
        <w:t>$</w:t>
      </w:r>
      <w:r w:rsidR="009E6419" w:rsidRPr="00204B75">
        <w:rPr>
          <w:color w:val="5B9BD5" w:themeColor="accent1"/>
        </w:rPr>
        <w:t>10,026</w:t>
      </w:r>
      <w:r w:rsidR="00204B75" w:rsidRPr="00204B75">
        <w:rPr>
          <w:color w:val="5B9BD5" w:themeColor="accent1"/>
        </w:rPr>
        <w:t>)</w:t>
      </w:r>
    </w:p>
    <w:p w14:paraId="00011F14" w14:textId="77777777" w:rsidR="009E6419" w:rsidRDefault="007548D1" w:rsidP="00BC3A6B">
      <w:pPr>
        <w:pStyle w:val="ListParagraph"/>
        <w:numPr>
          <w:ilvl w:val="2"/>
          <w:numId w:val="1"/>
        </w:numPr>
      </w:pPr>
      <w:r>
        <w:t xml:space="preserve">Total </w:t>
      </w:r>
      <w:r w:rsidR="00BC3A6B" w:rsidRPr="008F2188">
        <w:t>entitlement - $1</w:t>
      </w:r>
      <w:r w:rsidR="00BC3A6B">
        <w:t>17,818</w:t>
      </w:r>
      <w:r w:rsidR="00BC3A6B" w:rsidRPr="008F2188">
        <w:t xml:space="preserve">, </w:t>
      </w:r>
    </w:p>
    <w:p w14:paraId="5F55B5A6" w14:textId="3B51820C" w:rsidR="009E6419" w:rsidRPr="0035384A" w:rsidRDefault="009E6419" w:rsidP="0035384A">
      <w:pPr>
        <w:pStyle w:val="ListParagraph"/>
        <w:numPr>
          <w:ilvl w:val="2"/>
          <w:numId w:val="1"/>
        </w:numPr>
        <w:rPr>
          <w:color w:val="5B9BD5" w:themeColor="accent1"/>
        </w:rPr>
      </w:pPr>
      <w:r>
        <w:t>Allocations: FY</w:t>
      </w:r>
      <w:r w:rsidR="00BC3A6B">
        <w:t xml:space="preserve">22-23 - $23,528, </w:t>
      </w:r>
      <w:r>
        <w:t xml:space="preserve">FY23-24 - $10,285, </w:t>
      </w:r>
      <w:r w:rsidRPr="00204B75">
        <w:rPr>
          <w:color w:val="5B9BD5" w:themeColor="accent1"/>
        </w:rPr>
        <w:t>FY24-25 -</w:t>
      </w:r>
      <w:r w:rsidR="00204B75" w:rsidRPr="00204B75">
        <w:rPr>
          <w:color w:val="5B9BD5" w:themeColor="accent1"/>
        </w:rPr>
        <w:t>$34,79</w:t>
      </w:r>
      <w:r w:rsidR="007055CF">
        <w:rPr>
          <w:color w:val="5B9BD5" w:themeColor="accent1"/>
        </w:rPr>
        <w:t>6</w:t>
      </w:r>
      <w:r w:rsidR="00204B75" w:rsidRPr="00204B75">
        <w:rPr>
          <w:color w:val="5B9BD5" w:themeColor="accent1"/>
        </w:rPr>
        <w:t xml:space="preserve"> (prev.</w:t>
      </w:r>
      <w:r w:rsidRPr="00204B75">
        <w:rPr>
          <w:color w:val="5B9BD5" w:themeColor="accent1"/>
        </w:rPr>
        <w:t xml:space="preserve"> $73,979</w:t>
      </w:r>
      <w:r w:rsidR="00204B75" w:rsidRPr="00204B75">
        <w:rPr>
          <w:color w:val="5B9BD5" w:themeColor="accent1"/>
        </w:rPr>
        <w:t>)</w:t>
      </w:r>
      <w:r w:rsidRPr="00204B75">
        <w:rPr>
          <w:color w:val="5B9BD5" w:themeColor="accent1"/>
        </w:rPr>
        <w:t xml:space="preserve">, FY25-26 </w:t>
      </w:r>
      <w:r w:rsidR="00204B75">
        <w:rPr>
          <w:color w:val="5B9BD5" w:themeColor="accent1"/>
        </w:rPr>
        <w:t>–</w:t>
      </w:r>
      <w:r w:rsidRPr="00204B75">
        <w:rPr>
          <w:color w:val="5B9BD5" w:themeColor="accent1"/>
        </w:rPr>
        <w:t xml:space="preserve"> </w:t>
      </w:r>
      <w:r w:rsidR="00204B75">
        <w:rPr>
          <w:color w:val="5B9BD5" w:themeColor="accent1"/>
        </w:rPr>
        <w:t>$</w:t>
      </w:r>
      <w:r w:rsidR="0035384A">
        <w:rPr>
          <w:color w:val="5B9BD5" w:themeColor="accent1"/>
        </w:rPr>
        <w:t>49</w:t>
      </w:r>
      <w:r w:rsidR="00C7060A">
        <w:rPr>
          <w:color w:val="5B9BD5" w:themeColor="accent1"/>
        </w:rPr>
        <w:t>,</w:t>
      </w:r>
      <w:r w:rsidR="0035384A">
        <w:rPr>
          <w:color w:val="5B9BD5" w:themeColor="accent1"/>
        </w:rPr>
        <w:t>209</w:t>
      </w:r>
      <w:r w:rsidR="00204B75" w:rsidRPr="0035384A">
        <w:rPr>
          <w:color w:val="5B9BD5" w:themeColor="accent1"/>
        </w:rPr>
        <w:t xml:space="preserve"> (prev. </w:t>
      </w:r>
      <w:r w:rsidRPr="0035384A">
        <w:rPr>
          <w:color w:val="5B9BD5" w:themeColor="accent1"/>
        </w:rPr>
        <w:t>$10,026</w:t>
      </w:r>
      <w:r w:rsidR="00204B75" w:rsidRPr="0035384A">
        <w:rPr>
          <w:color w:val="5B9BD5" w:themeColor="accent1"/>
        </w:rPr>
        <w:t>)</w:t>
      </w:r>
    </w:p>
    <w:p w14:paraId="6B5C5C3A" w14:textId="6A29C41E" w:rsidR="00BC3A6B" w:rsidRDefault="00BC3A6B" w:rsidP="00BC3A6B">
      <w:pPr>
        <w:pStyle w:val="ListParagraph"/>
        <w:numPr>
          <w:ilvl w:val="2"/>
          <w:numId w:val="1"/>
        </w:numPr>
      </w:pPr>
      <w:r>
        <w:t xml:space="preserve">Funds to be spent by 6/30/2026. </w:t>
      </w:r>
    </w:p>
    <w:p w14:paraId="784907D9" w14:textId="7EAFF80B" w:rsidR="00B27CEB" w:rsidRPr="00811FC5" w:rsidRDefault="0034661E" w:rsidP="00002C8E">
      <w:pPr>
        <w:pStyle w:val="ListParagraph"/>
        <w:numPr>
          <w:ilvl w:val="1"/>
          <w:numId w:val="1"/>
        </w:numPr>
        <w:rPr>
          <w:color w:val="5B9BD5" w:themeColor="accent1"/>
        </w:rPr>
      </w:pPr>
      <w:r w:rsidRPr="00D258FA">
        <w:t xml:space="preserve">State Mental Health </w:t>
      </w:r>
      <w:r w:rsidR="00C11FE2" w:rsidRPr="00D258FA">
        <w:t>–</w:t>
      </w:r>
      <w:r w:rsidRPr="00D258FA">
        <w:t xml:space="preserve"> </w:t>
      </w:r>
      <w:r w:rsidR="00811FC5" w:rsidRPr="00811FC5">
        <w:rPr>
          <w:color w:val="5B9BD5" w:themeColor="accent1"/>
        </w:rPr>
        <w:t>$42,67</w:t>
      </w:r>
      <w:r w:rsidR="008D6C4E">
        <w:rPr>
          <w:color w:val="5B9BD5" w:themeColor="accent1"/>
        </w:rPr>
        <w:t>0</w:t>
      </w:r>
      <w:r w:rsidR="00811FC5" w:rsidRPr="00811FC5">
        <w:rPr>
          <w:color w:val="5B9BD5" w:themeColor="accent1"/>
        </w:rPr>
        <w:t xml:space="preserve"> (</w:t>
      </w:r>
      <w:r w:rsidR="00E44FBB">
        <w:rPr>
          <w:color w:val="5B9BD5" w:themeColor="accent1"/>
        </w:rPr>
        <w:t>increased by $17K</w:t>
      </w:r>
      <w:r w:rsidR="00811FC5" w:rsidRPr="00811FC5">
        <w:rPr>
          <w:color w:val="5B9BD5" w:themeColor="accent1"/>
        </w:rPr>
        <w:t>)</w:t>
      </w:r>
    </w:p>
    <w:p w14:paraId="4495002B" w14:textId="08503E0B" w:rsidR="00D056E1" w:rsidRDefault="00D056E1" w:rsidP="00B27CEB">
      <w:pPr>
        <w:pStyle w:val="ListParagraph"/>
        <w:numPr>
          <w:ilvl w:val="2"/>
          <w:numId w:val="1"/>
        </w:numPr>
      </w:pPr>
      <w:r>
        <w:t xml:space="preserve">Total </w:t>
      </w:r>
      <w:r w:rsidRPr="008F2188">
        <w:t>entitlement - $</w:t>
      </w:r>
      <w:r>
        <w:t>4</w:t>
      </w:r>
      <w:r w:rsidR="008C5ED9">
        <w:t>2,670</w:t>
      </w:r>
    </w:p>
    <w:p w14:paraId="49F12FF5" w14:textId="0A50FC59" w:rsidR="0034661E" w:rsidRDefault="00566F8B" w:rsidP="00B27CEB">
      <w:pPr>
        <w:pStyle w:val="ListParagraph"/>
        <w:numPr>
          <w:ilvl w:val="2"/>
          <w:numId w:val="1"/>
        </w:numPr>
      </w:pPr>
      <w:r>
        <w:t xml:space="preserve">Informal counseling expenses </w:t>
      </w:r>
      <w:r w:rsidR="0058404B">
        <w:t>tagged</w:t>
      </w:r>
    </w:p>
    <w:p w14:paraId="568E8BB3" w14:textId="41C0D49E" w:rsidR="0058404B" w:rsidRPr="00B74CBD" w:rsidRDefault="0058404B" w:rsidP="0058404B">
      <w:pPr>
        <w:pStyle w:val="ListParagraph"/>
        <w:numPr>
          <w:ilvl w:val="1"/>
          <w:numId w:val="1"/>
        </w:numPr>
        <w:rPr>
          <w:color w:val="5B9BD5" w:themeColor="accent1"/>
        </w:rPr>
      </w:pPr>
      <w:r>
        <w:t>Prop 28</w:t>
      </w:r>
      <w:r w:rsidRPr="00D258FA">
        <w:t xml:space="preserve"> – </w:t>
      </w:r>
      <w:r w:rsidR="00B74CBD" w:rsidRPr="00B74CBD">
        <w:rPr>
          <w:color w:val="5B9BD5" w:themeColor="accent1"/>
        </w:rPr>
        <w:t>$</w:t>
      </w:r>
      <w:r w:rsidR="00501D60" w:rsidRPr="00B74CBD">
        <w:rPr>
          <w:color w:val="5B9BD5" w:themeColor="accent1"/>
        </w:rPr>
        <w:t>76,943</w:t>
      </w:r>
      <w:r w:rsidR="00B74CBD" w:rsidRPr="00B74CBD">
        <w:rPr>
          <w:color w:val="5B9BD5" w:themeColor="accent1"/>
        </w:rPr>
        <w:t xml:space="preserve"> (increased by $4K)</w:t>
      </w:r>
    </w:p>
    <w:p w14:paraId="2EAEFE1B" w14:textId="7B90AD35" w:rsidR="00501D60" w:rsidRDefault="004A5969" w:rsidP="0058404B">
      <w:pPr>
        <w:pStyle w:val="ListParagraph"/>
        <w:numPr>
          <w:ilvl w:val="2"/>
          <w:numId w:val="1"/>
        </w:numPr>
      </w:pPr>
      <w:r>
        <w:t>Total funding</w:t>
      </w:r>
      <w:r w:rsidR="00501D60">
        <w:t xml:space="preserve"> </w:t>
      </w:r>
      <w:r w:rsidR="00B74CBD">
        <w:t>$</w:t>
      </w:r>
      <w:r w:rsidR="00501D60">
        <w:t>120,372</w:t>
      </w:r>
    </w:p>
    <w:p w14:paraId="3330B254" w14:textId="0976D3FB" w:rsidR="0058404B" w:rsidRDefault="00501D60" w:rsidP="00501D60">
      <w:pPr>
        <w:pStyle w:val="ListParagraph"/>
        <w:numPr>
          <w:ilvl w:val="2"/>
          <w:numId w:val="1"/>
        </w:numPr>
      </w:pPr>
      <w:r>
        <w:t xml:space="preserve"> </w:t>
      </w:r>
      <w:r w:rsidR="004A5969">
        <w:t>25-26</w:t>
      </w:r>
      <w:r w:rsidR="0058404B">
        <w:t xml:space="preserve"> </w:t>
      </w:r>
      <w:r w:rsidR="004A5969">
        <w:t>funding</w:t>
      </w:r>
      <w:r w:rsidR="0058404B">
        <w:t>- $72,</w:t>
      </w:r>
      <w:r w:rsidR="004A5969">
        <w:t>249 + Prior-year carryover 48,123</w:t>
      </w:r>
    </w:p>
    <w:p w14:paraId="3FE1ECE1" w14:textId="25236C94" w:rsidR="00AA76D7" w:rsidRDefault="00AA76D7" w:rsidP="00AA262E">
      <w:pPr>
        <w:pStyle w:val="ListParagraph"/>
        <w:numPr>
          <w:ilvl w:val="1"/>
          <w:numId w:val="1"/>
        </w:numPr>
      </w:pPr>
      <w:r>
        <w:t>Arts &amp; Music Block grant</w:t>
      </w:r>
      <w:r w:rsidRPr="00D258FA">
        <w:t xml:space="preserve"> – </w:t>
      </w:r>
      <w:r w:rsidRPr="00992A9E">
        <w:rPr>
          <w:color w:val="5B9BD5" w:themeColor="accent1"/>
        </w:rPr>
        <w:t>$</w:t>
      </w:r>
      <w:r w:rsidR="00E44FBB" w:rsidRPr="00992A9E">
        <w:rPr>
          <w:color w:val="5B9BD5" w:themeColor="accent1"/>
        </w:rPr>
        <w:t>63,555</w:t>
      </w:r>
      <w:r w:rsidR="00992A9E" w:rsidRPr="00992A9E">
        <w:rPr>
          <w:color w:val="5B9BD5" w:themeColor="accent1"/>
        </w:rPr>
        <w:t xml:space="preserve"> (increased by 6K)</w:t>
      </w:r>
    </w:p>
    <w:p w14:paraId="7EE91839" w14:textId="629F1DC9" w:rsidR="00166B9C" w:rsidRDefault="00332534" w:rsidP="00DB1A5B">
      <w:pPr>
        <w:pStyle w:val="ListParagraph"/>
        <w:numPr>
          <w:ilvl w:val="0"/>
          <w:numId w:val="1"/>
        </w:numPr>
      </w:pPr>
      <w:r>
        <w:t>Universal meals funded</w:t>
      </w:r>
    </w:p>
    <w:p w14:paraId="56D1B6C8" w14:textId="5FAB4D54" w:rsidR="00064991" w:rsidRDefault="00BC3A6B" w:rsidP="00712BFD">
      <w:pPr>
        <w:pStyle w:val="ListParagraph"/>
        <w:numPr>
          <w:ilvl w:val="0"/>
          <w:numId w:val="1"/>
        </w:numPr>
      </w:pPr>
      <w:r>
        <w:t>Fundraising -</w:t>
      </w:r>
      <w:r w:rsidR="00712BFD">
        <w:t xml:space="preserve"> $</w:t>
      </w:r>
      <w:r w:rsidR="00DB1A5B">
        <w:t>436,95</w:t>
      </w:r>
      <w:r w:rsidR="00F60287">
        <w:t>5</w:t>
      </w:r>
      <w:r w:rsidR="00DB1A5B">
        <w:t xml:space="preserve"> (same as </w:t>
      </w:r>
      <w:r w:rsidR="004278A0">
        <w:t>FY</w:t>
      </w:r>
      <w:r w:rsidR="00DB1A5B">
        <w:t>24-25)</w:t>
      </w:r>
      <w:r w:rsidR="00964F13">
        <w:t xml:space="preserve">            </w:t>
      </w:r>
      <w:r w:rsidR="00F60287" w:rsidRPr="00F60287">
        <w:rPr>
          <w:noProof/>
        </w:rPr>
        <w:drawing>
          <wp:inline distT="0" distB="0" distL="0" distR="0" wp14:anchorId="7ED779DD" wp14:editId="2B6B1CC8">
            <wp:extent cx="5010849" cy="2267266"/>
            <wp:effectExtent l="0" t="0" r="0" b="0"/>
            <wp:docPr id="9672784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27840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0849" cy="2267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4F13">
        <w:t xml:space="preserve">                                    </w:t>
      </w:r>
    </w:p>
    <w:p w14:paraId="3A82223E" w14:textId="4032E01D" w:rsidR="00A747A6" w:rsidRDefault="00712BFD" w:rsidP="00A747A6">
      <w:pPr>
        <w:pStyle w:val="ListParagraph"/>
        <w:numPr>
          <w:ilvl w:val="0"/>
          <w:numId w:val="1"/>
        </w:numPr>
      </w:pPr>
      <w:r w:rsidRPr="003E00AF">
        <w:t>Aftercare &amp; enrichment</w:t>
      </w:r>
      <w:r w:rsidR="008D37B6" w:rsidRPr="003E00AF">
        <w:t xml:space="preserve"> revenue</w:t>
      </w:r>
      <w:r w:rsidRPr="003E00AF">
        <w:t xml:space="preserve"> - </w:t>
      </w:r>
      <w:r w:rsidR="008C6481" w:rsidRPr="003E00AF">
        <w:t>$4</w:t>
      </w:r>
      <w:r w:rsidR="003A5345">
        <w:t>86,139</w:t>
      </w:r>
    </w:p>
    <w:p w14:paraId="75AB4365" w14:textId="21FD4C18" w:rsidR="003A5345" w:rsidRDefault="003A5345" w:rsidP="003A5345">
      <w:pPr>
        <w:pStyle w:val="ListParagraph"/>
        <w:numPr>
          <w:ilvl w:val="1"/>
          <w:numId w:val="1"/>
        </w:numPr>
      </w:pPr>
      <w:r w:rsidRPr="003E00AF">
        <w:t>Aftercare</w:t>
      </w:r>
      <w:r w:rsidR="00BA6183">
        <w:t xml:space="preserve"> - $378,139</w:t>
      </w:r>
    </w:p>
    <w:p w14:paraId="125ADE1B" w14:textId="371175B0" w:rsidR="003A5345" w:rsidRDefault="003A5345" w:rsidP="003A5345">
      <w:pPr>
        <w:pStyle w:val="ListParagraph"/>
        <w:numPr>
          <w:ilvl w:val="1"/>
          <w:numId w:val="1"/>
        </w:numPr>
      </w:pPr>
      <w:r>
        <w:t>E</w:t>
      </w:r>
      <w:r w:rsidRPr="003E00AF">
        <w:t>nrichment revenue</w:t>
      </w:r>
      <w:r w:rsidR="00BA6183">
        <w:t xml:space="preserve"> - $108,000</w:t>
      </w:r>
    </w:p>
    <w:p w14:paraId="66F29893" w14:textId="725A33C4" w:rsidR="00066300" w:rsidRPr="003E00AF" w:rsidRDefault="00066300" w:rsidP="00A747A6">
      <w:pPr>
        <w:pStyle w:val="ListParagraph"/>
        <w:numPr>
          <w:ilvl w:val="0"/>
          <w:numId w:val="1"/>
        </w:numPr>
      </w:pPr>
      <w:r>
        <w:t xml:space="preserve">Interest and Dividend income – </w:t>
      </w:r>
      <w:r w:rsidR="00BD00DF">
        <w:t>$30,625 ($20,625 earned through 01/2025)</w:t>
      </w:r>
    </w:p>
    <w:p w14:paraId="1E2A9AF0" w14:textId="7D4461D4" w:rsidR="0098320D" w:rsidRDefault="0098320D" w:rsidP="0098320D">
      <w:pPr>
        <w:pStyle w:val="ListParagraph"/>
        <w:numPr>
          <w:ilvl w:val="0"/>
          <w:numId w:val="1"/>
        </w:numPr>
      </w:pPr>
      <w:r>
        <w:t xml:space="preserve">Expense COLA – </w:t>
      </w:r>
      <w:r w:rsidR="009D77C2">
        <w:t>3</w:t>
      </w:r>
      <w:r>
        <w:t>%</w:t>
      </w:r>
      <w:r w:rsidR="006E40FB">
        <w:t xml:space="preserve"> applies to </w:t>
      </w:r>
      <w:r w:rsidR="007321E1">
        <w:t>m</w:t>
      </w:r>
      <w:r w:rsidR="006E40FB">
        <w:t xml:space="preserve">aterials and </w:t>
      </w:r>
      <w:r w:rsidR="007321E1">
        <w:t>s</w:t>
      </w:r>
      <w:r w:rsidR="006E40FB">
        <w:t>ervices.</w:t>
      </w:r>
    </w:p>
    <w:p w14:paraId="6386B503" w14:textId="17B6066D" w:rsidR="0098320D" w:rsidRDefault="0098320D" w:rsidP="0098320D">
      <w:pPr>
        <w:pStyle w:val="ListParagraph"/>
        <w:numPr>
          <w:ilvl w:val="0"/>
          <w:numId w:val="1"/>
        </w:numPr>
      </w:pPr>
      <w:r w:rsidRPr="00D258FA">
        <w:t xml:space="preserve">Salary Increases – All staff </w:t>
      </w:r>
      <w:r w:rsidR="00706B66" w:rsidRPr="00D258FA">
        <w:t xml:space="preserve">including OCTA Schedule increased by </w:t>
      </w:r>
      <w:r w:rsidR="00582E6E" w:rsidRPr="00FD0AD3">
        <w:rPr>
          <w:color w:val="5B9BD5" w:themeColor="accent1"/>
        </w:rPr>
        <w:t>2.5</w:t>
      </w:r>
      <w:r w:rsidR="00706B66" w:rsidRPr="00FD0AD3">
        <w:rPr>
          <w:color w:val="5B9BD5" w:themeColor="accent1"/>
        </w:rPr>
        <w:t>%</w:t>
      </w:r>
      <w:r w:rsidR="00582E6E" w:rsidRPr="00FD0AD3">
        <w:rPr>
          <w:color w:val="5B9BD5" w:themeColor="accent1"/>
        </w:rPr>
        <w:t xml:space="preserve"> (prev</w:t>
      </w:r>
      <w:r w:rsidR="00C33100" w:rsidRPr="00FD0AD3">
        <w:rPr>
          <w:color w:val="5B9BD5" w:themeColor="accent1"/>
        </w:rPr>
        <w:t>.</w:t>
      </w:r>
      <w:r w:rsidR="00582E6E" w:rsidRPr="00FD0AD3">
        <w:rPr>
          <w:color w:val="5B9BD5" w:themeColor="accent1"/>
        </w:rPr>
        <w:t xml:space="preserve"> 1%)</w:t>
      </w:r>
      <w:r w:rsidR="00706B66" w:rsidRPr="00FD0AD3">
        <w:rPr>
          <w:color w:val="5B9BD5" w:themeColor="accent1"/>
        </w:rPr>
        <w:t xml:space="preserve"> </w:t>
      </w:r>
      <w:r w:rsidR="00706B66" w:rsidRPr="00D258FA">
        <w:t>and OCTA STEP &amp; Column movement included</w:t>
      </w:r>
      <w:r w:rsidR="00166B9C" w:rsidRPr="00D258FA">
        <w:t xml:space="preserve"> </w:t>
      </w:r>
      <w:r w:rsidR="00274DDD">
        <w:t>(</w:t>
      </w:r>
      <w:r w:rsidR="00274DDD" w:rsidRPr="000515A8">
        <w:rPr>
          <w:color w:val="5B9BD5" w:themeColor="accent1"/>
        </w:rPr>
        <w:t xml:space="preserve">OCTA movement for specialty teachers </w:t>
      </w:r>
      <w:r w:rsidR="000515A8" w:rsidRPr="000515A8">
        <w:rPr>
          <w:color w:val="5B9BD5" w:themeColor="accent1"/>
        </w:rPr>
        <w:t>now included</w:t>
      </w:r>
      <w:r w:rsidR="00274DDD">
        <w:t>)</w:t>
      </w:r>
    </w:p>
    <w:p w14:paraId="2B250ADD" w14:textId="4FBB131B" w:rsidR="00BF2C7F" w:rsidRPr="00BF2C7F" w:rsidRDefault="00277B27" w:rsidP="0098320D">
      <w:pPr>
        <w:pStyle w:val="ListParagraph"/>
        <w:numPr>
          <w:ilvl w:val="0"/>
          <w:numId w:val="1"/>
        </w:numPr>
        <w:rPr>
          <w:color w:val="5B9BD5" w:themeColor="accent1"/>
        </w:rPr>
      </w:pPr>
      <w:r w:rsidRPr="00277B27">
        <w:t xml:space="preserve">Intervention - </w:t>
      </w:r>
      <w:r w:rsidR="00BF2C7F" w:rsidRPr="00BF2C7F">
        <w:rPr>
          <w:color w:val="5B9BD5" w:themeColor="accent1"/>
        </w:rPr>
        <w:t xml:space="preserve">One of the intervention </w:t>
      </w:r>
      <w:proofErr w:type="gramStart"/>
      <w:r w:rsidR="00BF2C7F" w:rsidRPr="00BF2C7F">
        <w:rPr>
          <w:color w:val="5B9BD5" w:themeColor="accent1"/>
        </w:rPr>
        <w:t>teacher</w:t>
      </w:r>
      <w:proofErr w:type="gramEnd"/>
      <w:r w:rsidR="00FD0AD3">
        <w:rPr>
          <w:color w:val="5B9BD5" w:themeColor="accent1"/>
        </w:rPr>
        <w:t xml:space="preserve"> positions (vacant in 25-26) </w:t>
      </w:r>
      <w:r w:rsidR="00BF2C7F" w:rsidRPr="00BF2C7F">
        <w:rPr>
          <w:color w:val="5B9BD5" w:themeColor="accent1"/>
        </w:rPr>
        <w:t xml:space="preserve">adjusted from 60% to 100% </w:t>
      </w:r>
      <w:r w:rsidR="00FD0AD3">
        <w:rPr>
          <w:color w:val="5B9BD5" w:themeColor="accent1"/>
        </w:rPr>
        <w:t xml:space="preserve">(FTE) </w:t>
      </w:r>
      <w:r w:rsidR="00BF2C7F" w:rsidRPr="00BF2C7F">
        <w:rPr>
          <w:color w:val="5B9BD5" w:themeColor="accent1"/>
        </w:rPr>
        <w:t>and estimated salary reduced by $1</w:t>
      </w:r>
      <w:r w:rsidR="000810CC">
        <w:rPr>
          <w:color w:val="5B9BD5" w:themeColor="accent1"/>
        </w:rPr>
        <w:t>7</w:t>
      </w:r>
      <w:r w:rsidR="00BF2C7F" w:rsidRPr="00BF2C7F">
        <w:rPr>
          <w:color w:val="5B9BD5" w:themeColor="accent1"/>
        </w:rPr>
        <w:t>K.</w:t>
      </w:r>
    </w:p>
    <w:p w14:paraId="10697ED2" w14:textId="77777777" w:rsidR="0098320D" w:rsidRDefault="0098320D" w:rsidP="0098320D">
      <w:pPr>
        <w:pStyle w:val="ListParagraph"/>
        <w:numPr>
          <w:ilvl w:val="0"/>
          <w:numId w:val="1"/>
        </w:numPr>
      </w:pPr>
      <w:r>
        <w:t>STRS Employer rate – 19.10%</w:t>
      </w:r>
    </w:p>
    <w:p w14:paraId="60DE1F22" w14:textId="06940FD2" w:rsidR="00E00C4D" w:rsidRDefault="008E0D4F" w:rsidP="000D54C0">
      <w:pPr>
        <w:pStyle w:val="ListParagraph"/>
        <w:numPr>
          <w:ilvl w:val="0"/>
          <w:numId w:val="1"/>
        </w:numPr>
      </w:pPr>
      <w:r>
        <w:lastRenderedPageBreak/>
        <w:t>Health &amp; Welfare rate – 8% increase included</w:t>
      </w:r>
      <w:r w:rsidR="00E00C4D">
        <w:t xml:space="preserve"> </w:t>
      </w:r>
    </w:p>
    <w:p w14:paraId="51894527" w14:textId="77777777" w:rsidR="000D1117" w:rsidRDefault="00057270" w:rsidP="00332534">
      <w:pPr>
        <w:pStyle w:val="ListParagraph"/>
        <w:numPr>
          <w:ilvl w:val="0"/>
          <w:numId w:val="1"/>
        </w:numPr>
      </w:pPr>
      <w:r w:rsidRPr="007A2ECA">
        <w:t>Maintain</w:t>
      </w:r>
      <w:r>
        <w:t xml:space="preserve"> r</w:t>
      </w:r>
      <w:r w:rsidR="00332534" w:rsidRPr="004E3871">
        <w:t>eductions made to one-time positions previously funded with COVID and Learning Loss</w:t>
      </w:r>
      <w:r w:rsidR="00712FF2">
        <w:t xml:space="preserve"> in 21-22</w:t>
      </w:r>
      <w:r w:rsidR="000D1117">
        <w:t xml:space="preserve">, </w:t>
      </w:r>
      <w:r w:rsidR="00712FF2">
        <w:t>22-23</w:t>
      </w:r>
      <w:r w:rsidR="000D1117">
        <w:t xml:space="preserve"> and 23-24</w:t>
      </w:r>
      <w:r w:rsidR="00332534" w:rsidRPr="004E3871">
        <w:t xml:space="preserve">: </w:t>
      </w:r>
    </w:p>
    <w:p w14:paraId="3A32ECD2" w14:textId="08455F5D" w:rsidR="00332534" w:rsidRPr="004E3871" w:rsidRDefault="00332534" w:rsidP="000D1117">
      <w:pPr>
        <w:pStyle w:val="ListParagraph"/>
        <w:numPr>
          <w:ilvl w:val="1"/>
          <w:numId w:val="1"/>
        </w:numPr>
      </w:pPr>
      <w:r w:rsidRPr="004E3871">
        <w:t xml:space="preserve">Keeping </w:t>
      </w:r>
      <w:proofErr w:type="gramStart"/>
      <w:r w:rsidRPr="004E3871">
        <w:t>TK</w:t>
      </w:r>
      <w:r w:rsidR="00F66384">
        <w:t>(</w:t>
      </w:r>
      <w:proofErr w:type="gramEnd"/>
      <w:r w:rsidR="00F66384">
        <w:t>2)</w:t>
      </w:r>
      <w:r w:rsidRPr="004E3871">
        <w:t xml:space="preserve"> and Kinder aides</w:t>
      </w:r>
      <w:r w:rsidR="00F66384">
        <w:t>(</w:t>
      </w:r>
      <w:r w:rsidR="004F2AD4">
        <w:t>2</w:t>
      </w:r>
      <w:r w:rsidR="00F66384">
        <w:t>)</w:t>
      </w:r>
      <w:r w:rsidRPr="004E3871">
        <w:t xml:space="preserve"> and other aides</w:t>
      </w:r>
      <w:r w:rsidR="00F66384">
        <w:t>(</w:t>
      </w:r>
      <w:r w:rsidR="007A2ECA">
        <w:t>8</w:t>
      </w:r>
      <w:r w:rsidR="00F66384">
        <w:t xml:space="preserve">) </w:t>
      </w:r>
      <w:r w:rsidRPr="004E3871">
        <w:t>which are a combination of intervention and classroom assistants</w:t>
      </w:r>
      <w:r w:rsidR="007A2ECA">
        <w:t>.</w:t>
      </w:r>
    </w:p>
    <w:p w14:paraId="7F2DA358" w14:textId="4F62E200" w:rsidR="0037324B" w:rsidRDefault="0037324B" w:rsidP="005F0F90">
      <w:pPr>
        <w:pStyle w:val="ListParagraph"/>
        <w:numPr>
          <w:ilvl w:val="0"/>
          <w:numId w:val="1"/>
        </w:numPr>
      </w:pPr>
      <w:proofErr w:type="spellStart"/>
      <w:r w:rsidRPr="008730B4">
        <w:t>ExED</w:t>
      </w:r>
      <w:proofErr w:type="spellEnd"/>
      <w:r w:rsidRPr="008730B4">
        <w:t xml:space="preserve"> Fee</w:t>
      </w:r>
      <w:r w:rsidR="003A5345">
        <w:t xml:space="preserve"> -</w:t>
      </w:r>
      <w:r w:rsidRPr="008730B4">
        <w:t xml:space="preserve"> $150,000</w:t>
      </w:r>
      <w:r w:rsidR="00EF2F3E" w:rsidRPr="008730B4">
        <w:t xml:space="preserve"> CALPADS services fee</w:t>
      </w:r>
      <w:r w:rsidR="003A5345">
        <w:t xml:space="preserve"> </w:t>
      </w:r>
      <w:r w:rsidR="005217D3">
        <w:t>$17,700</w:t>
      </w:r>
    </w:p>
    <w:p w14:paraId="03BD19C4" w14:textId="4FA7E906" w:rsidR="00E44FBB" w:rsidRDefault="00E44FBB" w:rsidP="005F0F90">
      <w:pPr>
        <w:pStyle w:val="ListParagraph"/>
        <w:numPr>
          <w:ilvl w:val="0"/>
          <w:numId w:val="1"/>
        </w:numPr>
      </w:pPr>
      <w:r>
        <w:t>Expense adjustments</w:t>
      </w:r>
      <w:r w:rsidR="001B45E7">
        <w:t xml:space="preserve"> (based on FY24-25 actuals):</w:t>
      </w:r>
    </w:p>
    <w:p w14:paraId="23A9CA6D" w14:textId="37B5A922" w:rsidR="00E44FBB" w:rsidRPr="00992A9E" w:rsidRDefault="00992A9E" w:rsidP="00E44FBB">
      <w:pPr>
        <w:pStyle w:val="ListParagraph"/>
        <w:numPr>
          <w:ilvl w:val="1"/>
          <w:numId w:val="1"/>
        </w:numPr>
        <w:rPr>
          <w:color w:val="5B9BD5" w:themeColor="accent1"/>
        </w:rPr>
      </w:pPr>
      <w:r w:rsidRPr="00992A9E">
        <w:rPr>
          <w:color w:val="5B9BD5" w:themeColor="accent1"/>
        </w:rPr>
        <w:t>All other consultants $242,365 (reduced by 5K)</w:t>
      </w:r>
    </w:p>
    <w:p w14:paraId="0CD1E5A4" w14:textId="39132743" w:rsidR="00992A9E" w:rsidRPr="00992A9E" w:rsidRDefault="00992A9E" w:rsidP="00E44FBB">
      <w:pPr>
        <w:pStyle w:val="ListParagraph"/>
        <w:numPr>
          <w:ilvl w:val="1"/>
          <w:numId w:val="1"/>
        </w:numPr>
        <w:rPr>
          <w:color w:val="5B9BD5" w:themeColor="accent1"/>
        </w:rPr>
      </w:pPr>
      <w:r w:rsidRPr="00992A9E">
        <w:rPr>
          <w:color w:val="5B9BD5" w:themeColor="accent1"/>
        </w:rPr>
        <w:t>Non-instructional consultants $36,886 (reduced by 10K)</w:t>
      </w:r>
    </w:p>
    <w:p w14:paraId="623FA9D8" w14:textId="60D28CBE" w:rsidR="00992A9E" w:rsidRPr="00992A9E" w:rsidRDefault="00992A9E" w:rsidP="00E44FBB">
      <w:pPr>
        <w:pStyle w:val="ListParagraph"/>
        <w:numPr>
          <w:ilvl w:val="1"/>
          <w:numId w:val="1"/>
        </w:numPr>
        <w:rPr>
          <w:color w:val="5B9BD5" w:themeColor="accent1"/>
        </w:rPr>
      </w:pPr>
      <w:r w:rsidRPr="00992A9E">
        <w:rPr>
          <w:color w:val="5B9BD5" w:themeColor="accent1"/>
        </w:rPr>
        <w:t>Office phone $10,881 (reduced by 9K)</w:t>
      </w:r>
    </w:p>
    <w:p w14:paraId="08BD66CB" w14:textId="5020DE61" w:rsidR="00992A9E" w:rsidRPr="00992A9E" w:rsidRDefault="00992A9E" w:rsidP="00E44FBB">
      <w:pPr>
        <w:pStyle w:val="ListParagraph"/>
        <w:numPr>
          <w:ilvl w:val="1"/>
          <w:numId w:val="1"/>
        </w:numPr>
        <w:rPr>
          <w:color w:val="5B9BD5" w:themeColor="accent1"/>
        </w:rPr>
      </w:pPr>
      <w:r w:rsidRPr="00992A9E">
        <w:rPr>
          <w:color w:val="5B9BD5" w:themeColor="accent1"/>
        </w:rPr>
        <w:t>Internet $20,384 (reduced by 6K)</w:t>
      </w:r>
    </w:p>
    <w:p w14:paraId="562981C3" w14:textId="072192C5" w:rsidR="00992A9E" w:rsidRPr="00992A9E" w:rsidRDefault="00992A9E" w:rsidP="00E44FBB">
      <w:pPr>
        <w:pStyle w:val="ListParagraph"/>
        <w:numPr>
          <w:ilvl w:val="1"/>
          <w:numId w:val="1"/>
        </w:numPr>
        <w:rPr>
          <w:color w:val="5B9BD5" w:themeColor="accent1"/>
        </w:rPr>
      </w:pPr>
      <w:r w:rsidRPr="00992A9E">
        <w:rPr>
          <w:color w:val="5B9BD5" w:themeColor="accent1"/>
        </w:rPr>
        <w:t>Website hosting $4,920 (reduced by 5K)</w:t>
      </w:r>
    </w:p>
    <w:p w14:paraId="25A7CD60" w14:textId="7F8B2E1D" w:rsidR="004D48D2" w:rsidRPr="008730B4" w:rsidRDefault="004D48D2" w:rsidP="005F0F90">
      <w:pPr>
        <w:pStyle w:val="ListParagraph"/>
        <w:numPr>
          <w:ilvl w:val="0"/>
          <w:numId w:val="1"/>
        </w:numPr>
      </w:pPr>
      <w:r>
        <w:t xml:space="preserve">Special Ed Fair Share </w:t>
      </w:r>
      <w:r w:rsidRPr="004D48D2">
        <w:rPr>
          <w:color w:val="5B9BD5" w:themeColor="accent1"/>
        </w:rPr>
        <w:t>$473,893 (increased by $78K</w:t>
      </w:r>
      <w:r w:rsidR="000D5478">
        <w:rPr>
          <w:color w:val="5B9BD5" w:themeColor="accent1"/>
        </w:rPr>
        <w:t xml:space="preserve"> due to district fee increase</w:t>
      </w:r>
      <w:r w:rsidRPr="004D48D2">
        <w:rPr>
          <w:color w:val="5B9BD5" w:themeColor="accent1"/>
        </w:rPr>
        <w:t>)</w:t>
      </w:r>
    </w:p>
    <w:p w14:paraId="14F23761" w14:textId="3E95B7BE" w:rsidR="0098320D" w:rsidRDefault="0098320D" w:rsidP="0098320D">
      <w:pPr>
        <w:pStyle w:val="ListParagraph"/>
        <w:numPr>
          <w:ilvl w:val="0"/>
          <w:numId w:val="1"/>
        </w:numPr>
      </w:pPr>
      <w:r>
        <w:t xml:space="preserve">Prop 1D loan </w:t>
      </w:r>
      <w:r w:rsidR="009C1712">
        <w:t>payments -</w:t>
      </w:r>
      <w:r>
        <w:t xml:space="preserve"> $466,074</w:t>
      </w:r>
    </w:p>
    <w:p w14:paraId="2B432DFA" w14:textId="77777777" w:rsidR="0098320D" w:rsidRDefault="0098320D" w:rsidP="0098320D">
      <w:pPr>
        <w:pStyle w:val="ListParagraph"/>
        <w:numPr>
          <w:ilvl w:val="0"/>
          <w:numId w:val="1"/>
        </w:numPr>
      </w:pPr>
      <w:r>
        <w:t>Over-allocation fee $148,145</w:t>
      </w:r>
    </w:p>
    <w:p w14:paraId="715C8F5B" w14:textId="77777777" w:rsidR="004D3C18" w:rsidRPr="004D3C18" w:rsidRDefault="004D3C18" w:rsidP="004D3C18">
      <w:pPr>
        <w:pStyle w:val="ListParagraph"/>
        <w:numPr>
          <w:ilvl w:val="0"/>
          <w:numId w:val="1"/>
        </w:numPr>
      </w:pPr>
      <w:r w:rsidRPr="004D3C18">
        <w:t>Dennis Demanett Mentoring reduced by $2K</w:t>
      </w:r>
    </w:p>
    <w:p w14:paraId="06F47BD1" w14:textId="77777777" w:rsidR="004D3C18" w:rsidRPr="004D3C18" w:rsidRDefault="004D3C18" w:rsidP="004D3C18">
      <w:pPr>
        <w:pStyle w:val="ListParagraph"/>
        <w:numPr>
          <w:ilvl w:val="0"/>
          <w:numId w:val="1"/>
        </w:numPr>
      </w:pPr>
      <w:r w:rsidRPr="004D3C18">
        <w:t>Circle ways Trauma informed training reduced by $1.5K</w:t>
      </w:r>
    </w:p>
    <w:p w14:paraId="6780DD1E" w14:textId="696977C8" w:rsidR="004D3C18" w:rsidRDefault="004D3C18" w:rsidP="00BF5587">
      <w:pPr>
        <w:pStyle w:val="ListParagraph"/>
        <w:numPr>
          <w:ilvl w:val="0"/>
          <w:numId w:val="1"/>
        </w:numPr>
      </w:pPr>
      <w:r w:rsidRPr="004D3C18">
        <w:t>OCTA mentoring stipends reduced by $2.5K</w:t>
      </w:r>
    </w:p>
    <w:p w14:paraId="09CB971B" w14:textId="77777777" w:rsidR="001B45E7" w:rsidRDefault="00106B50" w:rsidP="001B45E7">
      <w:pPr>
        <w:pStyle w:val="ListParagraph"/>
        <w:numPr>
          <w:ilvl w:val="0"/>
          <w:numId w:val="1"/>
        </w:numPr>
        <w:rPr>
          <w:color w:val="5B9BD5" w:themeColor="accent1"/>
        </w:rPr>
      </w:pPr>
      <w:r w:rsidRPr="001B45E7">
        <w:rPr>
          <w:color w:val="5B9BD5" w:themeColor="accent1"/>
        </w:rPr>
        <w:t>Total Net Income (with $1.4M site depreciation) -$</w:t>
      </w:r>
      <w:r w:rsidR="00B27295" w:rsidRPr="001B45E7">
        <w:rPr>
          <w:color w:val="5B9BD5" w:themeColor="accent1"/>
        </w:rPr>
        <w:t>1,064,853</w:t>
      </w:r>
      <w:r w:rsidR="00BB7218" w:rsidRPr="001B45E7">
        <w:rPr>
          <w:color w:val="5B9BD5" w:themeColor="accent1"/>
        </w:rPr>
        <w:t xml:space="preserve"> </w:t>
      </w:r>
      <w:r w:rsidR="00B47F16" w:rsidRPr="001B45E7">
        <w:rPr>
          <w:color w:val="5B9BD5" w:themeColor="accent1"/>
        </w:rPr>
        <w:t>(</w:t>
      </w:r>
      <w:r w:rsidR="00B27295" w:rsidRPr="001B45E7">
        <w:rPr>
          <w:color w:val="5B9BD5" w:themeColor="accent1"/>
        </w:rPr>
        <w:t>increased by 15K)</w:t>
      </w:r>
      <w:r w:rsidR="00B47F16" w:rsidRPr="001B45E7">
        <w:rPr>
          <w:color w:val="5B9BD5" w:themeColor="accent1"/>
        </w:rPr>
        <w:t>)</w:t>
      </w:r>
    </w:p>
    <w:p w14:paraId="7D675A33" w14:textId="77777777" w:rsidR="001B45E7" w:rsidRDefault="00D860E4" w:rsidP="001B45E7">
      <w:pPr>
        <w:pStyle w:val="ListParagraph"/>
        <w:numPr>
          <w:ilvl w:val="0"/>
          <w:numId w:val="1"/>
        </w:numPr>
        <w:rPr>
          <w:color w:val="5B9BD5" w:themeColor="accent1"/>
        </w:rPr>
      </w:pPr>
      <w:r w:rsidRPr="001B45E7">
        <w:rPr>
          <w:color w:val="5B9BD5" w:themeColor="accent1"/>
        </w:rPr>
        <w:t>Net Income – OPERATING - $</w:t>
      </w:r>
      <w:r w:rsidR="00B47F16" w:rsidRPr="001B45E7">
        <w:rPr>
          <w:color w:val="5B9BD5" w:themeColor="accent1"/>
        </w:rPr>
        <w:t>3</w:t>
      </w:r>
      <w:r w:rsidR="00B27295" w:rsidRPr="001B45E7">
        <w:rPr>
          <w:color w:val="5B9BD5" w:themeColor="accent1"/>
        </w:rPr>
        <w:t xml:space="preserve">98,412 </w:t>
      </w:r>
      <w:r w:rsidR="00BB7218" w:rsidRPr="001B45E7">
        <w:rPr>
          <w:color w:val="5B9BD5" w:themeColor="accent1"/>
        </w:rPr>
        <w:t>(</w:t>
      </w:r>
      <w:r w:rsidR="00B27295" w:rsidRPr="001B45E7">
        <w:rPr>
          <w:color w:val="5B9BD5" w:themeColor="accent1"/>
        </w:rPr>
        <w:t>increased</w:t>
      </w:r>
      <w:r w:rsidR="00A65A84" w:rsidRPr="001B45E7">
        <w:rPr>
          <w:color w:val="5B9BD5" w:themeColor="accent1"/>
        </w:rPr>
        <w:t xml:space="preserve"> by $</w:t>
      </w:r>
      <w:r w:rsidR="00B27295" w:rsidRPr="001B45E7">
        <w:rPr>
          <w:color w:val="5B9BD5" w:themeColor="accent1"/>
        </w:rPr>
        <w:t>15</w:t>
      </w:r>
      <w:r w:rsidR="00B47F16" w:rsidRPr="001B45E7">
        <w:rPr>
          <w:color w:val="5B9BD5" w:themeColor="accent1"/>
        </w:rPr>
        <w:t>K</w:t>
      </w:r>
      <w:r w:rsidR="00BB7218" w:rsidRPr="001B45E7">
        <w:rPr>
          <w:color w:val="5B9BD5" w:themeColor="accent1"/>
        </w:rPr>
        <w:t>)</w:t>
      </w:r>
    </w:p>
    <w:p w14:paraId="66673001" w14:textId="77777777" w:rsidR="001B45E7" w:rsidRDefault="00937A9A" w:rsidP="001B45E7">
      <w:pPr>
        <w:pStyle w:val="ListParagraph"/>
        <w:numPr>
          <w:ilvl w:val="0"/>
          <w:numId w:val="1"/>
        </w:numPr>
        <w:rPr>
          <w:color w:val="5B9BD5" w:themeColor="accent1"/>
        </w:rPr>
      </w:pPr>
      <w:r w:rsidRPr="001B45E7">
        <w:rPr>
          <w:color w:val="5B9BD5" w:themeColor="accent1"/>
        </w:rPr>
        <w:t>Debt service coverage ratio – 1.</w:t>
      </w:r>
      <w:r w:rsidR="00B27295" w:rsidRPr="001B45E7">
        <w:rPr>
          <w:color w:val="5B9BD5" w:themeColor="accent1"/>
        </w:rPr>
        <w:t xml:space="preserve">26 </w:t>
      </w:r>
      <w:r w:rsidR="00C240C8" w:rsidRPr="001B45E7">
        <w:rPr>
          <w:color w:val="5B9BD5" w:themeColor="accent1"/>
        </w:rPr>
        <w:t>(prev. 1.</w:t>
      </w:r>
      <w:r w:rsidR="00E321AE" w:rsidRPr="001B45E7">
        <w:rPr>
          <w:color w:val="5B9BD5" w:themeColor="accent1"/>
        </w:rPr>
        <w:t>23</w:t>
      </w:r>
      <w:r w:rsidR="00C240C8" w:rsidRPr="001B45E7">
        <w:rPr>
          <w:color w:val="5B9BD5" w:themeColor="accent1"/>
        </w:rPr>
        <w:t>)</w:t>
      </w:r>
      <w:r w:rsidR="00A65A84" w:rsidRPr="001B45E7">
        <w:rPr>
          <w:color w:val="5B9BD5" w:themeColor="accent1"/>
        </w:rPr>
        <w:t xml:space="preserve"> </w:t>
      </w:r>
    </w:p>
    <w:p w14:paraId="57B2A344" w14:textId="77777777" w:rsidR="001B45E7" w:rsidRDefault="00064991" w:rsidP="001B45E7">
      <w:pPr>
        <w:pStyle w:val="ListParagraph"/>
        <w:numPr>
          <w:ilvl w:val="0"/>
          <w:numId w:val="1"/>
        </w:numPr>
        <w:rPr>
          <w:color w:val="5B9BD5" w:themeColor="accent1"/>
        </w:rPr>
      </w:pPr>
      <w:r w:rsidRPr="001B45E7">
        <w:rPr>
          <w:color w:val="5B9BD5" w:themeColor="accent1"/>
        </w:rPr>
        <w:t>Cash Balance</w:t>
      </w:r>
      <w:r w:rsidR="0068734B" w:rsidRPr="001B45E7">
        <w:rPr>
          <w:color w:val="5B9BD5" w:themeColor="accent1"/>
        </w:rPr>
        <w:t xml:space="preserve"> as of 6/30/2</w:t>
      </w:r>
      <w:r w:rsidR="003A5345" w:rsidRPr="001B45E7">
        <w:rPr>
          <w:color w:val="5B9BD5" w:themeColor="accent1"/>
        </w:rPr>
        <w:t>6</w:t>
      </w:r>
      <w:r w:rsidRPr="001B45E7">
        <w:rPr>
          <w:color w:val="5B9BD5" w:themeColor="accent1"/>
        </w:rPr>
        <w:t xml:space="preserve"> - $</w:t>
      </w:r>
      <w:r w:rsidR="00B47F16" w:rsidRPr="001B45E7">
        <w:rPr>
          <w:color w:val="5B9BD5" w:themeColor="accent1"/>
        </w:rPr>
        <w:t>2,</w:t>
      </w:r>
      <w:r w:rsidR="00864BD8" w:rsidRPr="001B45E7">
        <w:rPr>
          <w:color w:val="5B9BD5" w:themeColor="accent1"/>
        </w:rPr>
        <w:t xml:space="preserve">003,142 </w:t>
      </w:r>
      <w:r w:rsidR="00B47F16" w:rsidRPr="001B45E7">
        <w:rPr>
          <w:color w:val="5B9BD5" w:themeColor="accent1"/>
        </w:rPr>
        <w:t>(</w:t>
      </w:r>
      <w:r w:rsidR="00E321AE" w:rsidRPr="001B45E7">
        <w:rPr>
          <w:color w:val="5B9BD5" w:themeColor="accent1"/>
        </w:rPr>
        <w:t xml:space="preserve">decreased by </w:t>
      </w:r>
      <w:r w:rsidR="006D5D08" w:rsidRPr="001B45E7">
        <w:rPr>
          <w:color w:val="5B9BD5" w:themeColor="accent1"/>
        </w:rPr>
        <w:t>281</w:t>
      </w:r>
      <w:r w:rsidR="00E321AE" w:rsidRPr="001B45E7">
        <w:rPr>
          <w:color w:val="5B9BD5" w:themeColor="accent1"/>
        </w:rPr>
        <w:t>K</w:t>
      </w:r>
      <w:r w:rsidR="00B47F16" w:rsidRPr="001B45E7">
        <w:rPr>
          <w:color w:val="5B9BD5" w:themeColor="accent1"/>
        </w:rPr>
        <w:t>)</w:t>
      </w:r>
    </w:p>
    <w:p w14:paraId="0F726364" w14:textId="2D6A079B" w:rsidR="0010336E" w:rsidRDefault="00064991" w:rsidP="001B45E7">
      <w:pPr>
        <w:pStyle w:val="ListParagraph"/>
        <w:numPr>
          <w:ilvl w:val="0"/>
          <w:numId w:val="1"/>
        </w:numPr>
        <w:rPr>
          <w:color w:val="5B9BD5" w:themeColor="accent1"/>
        </w:rPr>
      </w:pPr>
      <w:r w:rsidRPr="001B45E7">
        <w:rPr>
          <w:color w:val="5B9BD5" w:themeColor="accent1"/>
        </w:rPr>
        <w:t xml:space="preserve">Cash </w:t>
      </w:r>
      <w:r w:rsidR="009C1712" w:rsidRPr="001B45E7">
        <w:rPr>
          <w:color w:val="5B9BD5" w:themeColor="accent1"/>
        </w:rPr>
        <w:t>Reserve (</w:t>
      </w:r>
      <w:r w:rsidR="00D9735C" w:rsidRPr="001B45E7">
        <w:rPr>
          <w:color w:val="5B9BD5" w:themeColor="accent1"/>
        </w:rPr>
        <w:t>c</w:t>
      </w:r>
      <w:r w:rsidR="00403384" w:rsidRPr="001B45E7">
        <w:rPr>
          <w:color w:val="5B9BD5" w:themeColor="accent1"/>
        </w:rPr>
        <w:t>ash</w:t>
      </w:r>
      <w:r w:rsidRPr="001B45E7">
        <w:rPr>
          <w:color w:val="5B9BD5" w:themeColor="accent1"/>
        </w:rPr>
        <w:t xml:space="preserve"> balance as a % of total expenses) –</w:t>
      </w:r>
      <w:r w:rsidR="0068734B" w:rsidRPr="001B45E7">
        <w:rPr>
          <w:color w:val="5B9BD5" w:themeColor="accent1"/>
        </w:rPr>
        <w:t xml:space="preserve"> </w:t>
      </w:r>
      <w:r w:rsidR="00B47F16" w:rsidRPr="001B45E7">
        <w:rPr>
          <w:color w:val="5B9BD5" w:themeColor="accent1"/>
        </w:rPr>
        <w:t>2</w:t>
      </w:r>
      <w:r w:rsidR="006D5D08" w:rsidRPr="001B45E7">
        <w:rPr>
          <w:color w:val="5B9BD5" w:themeColor="accent1"/>
        </w:rPr>
        <w:t>2</w:t>
      </w:r>
      <w:r w:rsidR="00B47F16" w:rsidRPr="001B45E7">
        <w:rPr>
          <w:color w:val="5B9BD5" w:themeColor="accent1"/>
        </w:rPr>
        <w:t xml:space="preserve">% (prev. </w:t>
      </w:r>
      <w:r w:rsidR="003A5345" w:rsidRPr="001B45E7">
        <w:rPr>
          <w:color w:val="5B9BD5" w:themeColor="accent1"/>
        </w:rPr>
        <w:t>25.</w:t>
      </w:r>
      <w:r w:rsidR="00E321AE" w:rsidRPr="001B45E7">
        <w:rPr>
          <w:color w:val="5B9BD5" w:themeColor="accent1"/>
        </w:rPr>
        <w:t>3</w:t>
      </w:r>
      <w:r w:rsidR="003A5345" w:rsidRPr="001B45E7">
        <w:rPr>
          <w:color w:val="5B9BD5" w:themeColor="accent1"/>
        </w:rPr>
        <w:t>%</w:t>
      </w:r>
      <w:r w:rsidR="00B47F16" w:rsidRPr="001B45E7">
        <w:rPr>
          <w:color w:val="5B9BD5" w:themeColor="accent1"/>
        </w:rPr>
        <w:t>)</w:t>
      </w:r>
    </w:p>
    <w:p w14:paraId="404ABD14" w14:textId="77777777" w:rsidR="00DA171B" w:rsidRDefault="00DA171B" w:rsidP="00DA171B">
      <w:r w:rsidRPr="00DA171B">
        <w:t>Not Included:</w:t>
      </w:r>
      <w:r>
        <w:t xml:space="preserve"> </w:t>
      </w:r>
    </w:p>
    <w:p w14:paraId="2E1A6C2E" w14:textId="2A52A9D9" w:rsidR="00DA171B" w:rsidRDefault="00DA171B" w:rsidP="00DA171B">
      <w:pPr>
        <w:pStyle w:val="ListParagraph"/>
        <w:numPr>
          <w:ilvl w:val="0"/>
          <w:numId w:val="7"/>
        </w:numPr>
      </w:pPr>
      <w:r w:rsidRPr="00DA171B">
        <w:t>Governor’s Discretionary one-time block grant ~$170K ($323/ADA)</w:t>
      </w:r>
    </w:p>
    <w:p w14:paraId="4D94B1F3" w14:textId="77777777" w:rsidR="00047179" w:rsidRDefault="00047179" w:rsidP="00955265"/>
    <w:p w14:paraId="677D0C3D" w14:textId="738EEFDC" w:rsidR="00955265" w:rsidRDefault="00955265" w:rsidP="00955265">
      <w:r>
        <w:t>Scenario with Federal cuts of Title funding (Title I, II &amp; IV) ~$50K</w:t>
      </w:r>
    </w:p>
    <w:p w14:paraId="48093D41" w14:textId="1E4358FD" w:rsidR="00955265" w:rsidRPr="00955265" w:rsidRDefault="00047179" w:rsidP="00047179">
      <w:pPr>
        <w:pStyle w:val="ListParagraph"/>
        <w:numPr>
          <w:ilvl w:val="0"/>
          <w:numId w:val="7"/>
        </w:numPr>
      </w:pPr>
      <w:r w:rsidRPr="00047179">
        <w:rPr>
          <w:bCs/>
        </w:rPr>
        <w:t>The following</w:t>
      </w:r>
      <w:r w:rsidR="00955265" w:rsidRPr="00047179">
        <w:rPr>
          <w:bCs/>
        </w:rPr>
        <w:t xml:space="preserve"> revenue sources would cover a potential federal revenue deduction:</w:t>
      </w:r>
    </w:p>
    <w:p w14:paraId="257FC420" w14:textId="77777777" w:rsidR="00955265" w:rsidRDefault="00955265" w:rsidP="00955265">
      <w:pPr>
        <w:pStyle w:val="ListParagraph"/>
        <w:numPr>
          <w:ilvl w:val="2"/>
          <w:numId w:val="3"/>
        </w:numPr>
        <w:rPr>
          <w:bCs/>
        </w:rPr>
      </w:pPr>
      <w:proofErr w:type="spellStart"/>
      <w:r>
        <w:rPr>
          <w:bCs/>
        </w:rPr>
        <w:t>eRate</w:t>
      </w:r>
      <w:proofErr w:type="spellEnd"/>
      <w:r>
        <w:rPr>
          <w:bCs/>
        </w:rPr>
        <w:t xml:space="preserve"> credits $20K</w:t>
      </w:r>
    </w:p>
    <w:p w14:paraId="3193CD7A" w14:textId="77777777" w:rsidR="00955265" w:rsidRDefault="00955265" w:rsidP="00955265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Prop 28 Waiver to access $30K from prior year FY23/24 allocation remaining balance</w:t>
      </w:r>
    </w:p>
    <w:p w14:paraId="616A59F0" w14:textId="77777777" w:rsidR="00955265" w:rsidRPr="00DA171B" w:rsidRDefault="00955265" w:rsidP="00955265"/>
    <w:p w14:paraId="1F9E29F4" w14:textId="77777777" w:rsidR="00DA171B" w:rsidRPr="00DA171B" w:rsidRDefault="00DA171B" w:rsidP="00DA171B">
      <w:pPr>
        <w:rPr>
          <w:color w:val="5B9BD5" w:themeColor="accent1"/>
        </w:rPr>
      </w:pPr>
    </w:p>
    <w:sectPr w:rsidR="00DA171B" w:rsidRPr="00DA1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22DAD"/>
    <w:multiLevelType w:val="hybridMultilevel"/>
    <w:tmpl w:val="7E74C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A12A2"/>
    <w:multiLevelType w:val="hybridMultilevel"/>
    <w:tmpl w:val="27322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64B2F"/>
    <w:multiLevelType w:val="hybridMultilevel"/>
    <w:tmpl w:val="045CA4C0"/>
    <w:lvl w:ilvl="0" w:tplc="9134FB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26014BC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62017"/>
    <w:multiLevelType w:val="hybridMultilevel"/>
    <w:tmpl w:val="A95CA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66330"/>
    <w:multiLevelType w:val="hybridMultilevel"/>
    <w:tmpl w:val="15969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65AC7"/>
    <w:multiLevelType w:val="hybridMultilevel"/>
    <w:tmpl w:val="BFC69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20D"/>
    <w:rsid w:val="000008D1"/>
    <w:rsid w:val="00002C8E"/>
    <w:rsid w:val="00047179"/>
    <w:rsid w:val="000515A8"/>
    <w:rsid w:val="00057270"/>
    <w:rsid w:val="00064991"/>
    <w:rsid w:val="00066300"/>
    <w:rsid w:val="00070627"/>
    <w:rsid w:val="000810CC"/>
    <w:rsid w:val="000D1117"/>
    <w:rsid w:val="000D2C25"/>
    <w:rsid w:val="000D3439"/>
    <w:rsid w:val="000D5478"/>
    <w:rsid w:val="000D54C0"/>
    <w:rsid w:val="000E68FE"/>
    <w:rsid w:val="000F6A3E"/>
    <w:rsid w:val="0010336E"/>
    <w:rsid w:val="00106B50"/>
    <w:rsid w:val="0011473E"/>
    <w:rsid w:val="00130E83"/>
    <w:rsid w:val="00152E69"/>
    <w:rsid w:val="00166B9C"/>
    <w:rsid w:val="0018175C"/>
    <w:rsid w:val="001848C6"/>
    <w:rsid w:val="001B45E7"/>
    <w:rsid w:val="0020180B"/>
    <w:rsid w:val="00204B75"/>
    <w:rsid w:val="00232FF2"/>
    <w:rsid w:val="00251CFA"/>
    <w:rsid w:val="00257481"/>
    <w:rsid w:val="0027010F"/>
    <w:rsid w:val="00271F9D"/>
    <w:rsid w:val="00274DDD"/>
    <w:rsid w:val="00277B27"/>
    <w:rsid w:val="00285AD2"/>
    <w:rsid w:val="002E5E87"/>
    <w:rsid w:val="00307B8D"/>
    <w:rsid w:val="00324EF1"/>
    <w:rsid w:val="00332534"/>
    <w:rsid w:val="00335746"/>
    <w:rsid w:val="0034661E"/>
    <w:rsid w:val="0035072F"/>
    <w:rsid w:val="0035384A"/>
    <w:rsid w:val="0037324B"/>
    <w:rsid w:val="003A3581"/>
    <w:rsid w:val="003A5345"/>
    <w:rsid w:val="003C5C10"/>
    <w:rsid w:val="003E00AF"/>
    <w:rsid w:val="003E2847"/>
    <w:rsid w:val="003F52A7"/>
    <w:rsid w:val="00403384"/>
    <w:rsid w:val="00410C49"/>
    <w:rsid w:val="004278A0"/>
    <w:rsid w:val="00436F2C"/>
    <w:rsid w:val="00465FEB"/>
    <w:rsid w:val="00482FB6"/>
    <w:rsid w:val="004841AB"/>
    <w:rsid w:val="004A01F6"/>
    <w:rsid w:val="004A5969"/>
    <w:rsid w:val="004D3C18"/>
    <w:rsid w:val="004D48D2"/>
    <w:rsid w:val="004E3871"/>
    <w:rsid w:val="004E47F3"/>
    <w:rsid w:val="004F2AD4"/>
    <w:rsid w:val="004F3C42"/>
    <w:rsid w:val="00501D60"/>
    <w:rsid w:val="00506D10"/>
    <w:rsid w:val="005153C4"/>
    <w:rsid w:val="005217D3"/>
    <w:rsid w:val="00551902"/>
    <w:rsid w:val="00553FFB"/>
    <w:rsid w:val="00566F8B"/>
    <w:rsid w:val="00582E6E"/>
    <w:rsid w:val="0058404B"/>
    <w:rsid w:val="00596325"/>
    <w:rsid w:val="005A03C4"/>
    <w:rsid w:val="005C76CF"/>
    <w:rsid w:val="005F0747"/>
    <w:rsid w:val="005F0F90"/>
    <w:rsid w:val="005F1015"/>
    <w:rsid w:val="00617633"/>
    <w:rsid w:val="00617812"/>
    <w:rsid w:val="00652D56"/>
    <w:rsid w:val="00656A66"/>
    <w:rsid w:val="00682699"/>
    <w:rsid w:val="0068734B"/>
    <w:rsid w:val="006A2456"/>
    <w:rsid w:val="006A4FF9"/>
    <w:rsid w:val="006D5D08"/>
    <w:rsid w:val="006E40FB"/>
    <w:rsid w:val="007055CF"/>
    <w:rsid w:val="00706B66"/>
    <w:rsid w:val="00711F5F"/>
    <w:rsid w:val="00712BFD"/>
    <w:rsid w:val="00712FF2"/>
    <w:rsid w:val="007321E1"/>
    <w:rsid w:val="00751261"/>
    <w:rsid w:val="007548D1"/>
    <w:rsid w:val="00796938"/>
    <w:rsid w:val="007A10B9"/>
    <w:rsid w:val="007A2ECA"/>
    <w:rsid w:val="007D7029"/>
    <w:rsid w:val="007E3161"/>
    <w:rsid w:val="007F2A94"/>
    <w:rsid w:val="008079CA"/>
    <w:rsid w:val="00811FC5"/>
    <w:rsid w:val="008326BB"/>
    <w:rsid w:val="00835104"/>
    <w:rsid w:val="00864BD8"/>
    <w:rsid w:val="008730B4"/>
    <w:rsid w:val="00876599"/>
    <w:rsid w:val="008940DA"/>
    <w:rsid w:val="008C3AB3"/>
    <w:rsid w:val="008C3DC4"/>
    <w:rsid w:val="008C5ED9"/>
    <w:rsid w:val="008C6481"/>
    <w:rsid w:val="008D37B6"/>
    <w:rsid w:val="008D48EC"/>
    <w:rsid w:val="008D6C4E"/>
    <w:rsid w:val="008E0D4F"/>
    <w:rsid w:val="008F2188"/>
    <w:rsid w:val="00902CD3"/>
    <w:rsid w:val="00926892"/>
    <w:rsid w:val="00937A9A"/>
    <w:rsid w:val="00946810"/>
    <w:rsid w:val="00955265"/>
    <w:rsid w:val="00964F13"/>
    <w:rsid w:val="00981392"/>
    <w:rsid w:val="0098320D"/>
    <w:rsid w:val="00992A9E"/>
    <w:rsid w:val="009C1712"/>
    <w:rsid w:val="009D3304"/>
    <w:rsid w:val="009D77C2"/>
    <w:rsid w:val="009E13DC"/>
    <w:rsid w:val="009E6419"/>
    <w:rsid w:val="00A033CB"/>
    <w:rsid w:val="00A418EE"/>
    <w:rsid w:val="00A65A84"/>
    <w:rsid w:val="00A71D0F"/>
    <w:rsid w:val="00A747A6"/>
    <w:rsid w:val="00AA53C1"/>
    <w:rsid w:val="00AA666E"/>
    <w:rsid w:val="00AA76D7"/>
    <w:rsid w:val="00AB682B"/>
    <w:rsid w:val="00AC033A"/>
    <w:rsid w:val="00AD061E"/>
    <w:rsid w:val="00AD6E9A"/>
    <w:rsid w:val="00AF70E1"/>
    <w:rsid w:val="00B27295"/>
    <w:rsid w:val="00B27CEB"/>
    <w:rsid w:val="00B47F16"/>
    <w:rsid w:val="00B5426A"/>
    <w:rsid w:val="00B648C9"/>
    <w:rsid w:val="00B67B1B"/>
    <w:rsid w:val="00B74CBD"/>
    <w:rsid w:val="00BA6183"/>
    <w:rsid w:val="00BB7218"/>
    <w:rsid w:val="00BC3A6B"/>
    <w:rsid w:val="00BD00DF"/>
    <w:rsid w:val="00BF2C7F"/>
    <w:rsid w:val="00C11FE2"/>
    <w:rsid w:val="00C22EA5"/>
    <w:rsid w:val="00C240C8"/>
    <w:rsid w:val="00C33100"/>
    <w:rsid w:val="00C52DE7"/>
    <w:rsid w:val="00C7060A"/>
    <w:rsid w:val="00CB5A5B"/>
    <w:rsid w:val="00CE575D"/>
    <w:rsid w:val="00D01669"/>
    <w:rsid w:val="00D022A6"/>
    <w:rsid w:val="00D056E1"/>
    <w:rsid w:val="00D12C93"/>
    <w:rsid w:val="00D258FA"/>
    <w:rsid w:val="00D26AEE"/>
    <w:rsid w:val="00D316B9"/>
    <w:rsid w:val="00D34CED"/>
    <w:rsid w:val="00D36BBB"/>
    <w:rsid w:val="00D544BD"/>
    <w:rsid w:val="00D860E4"/>
    <w:rsid w:val="00D9735C"/>
    <w:rsid w:val="00DA171B"/>
    <w:rsid w:val="00DB1A5B"/>
    <w:rsid w:val="00DC15D8"/>
    <w:rsid w:val="00DC46C7"/>
    <w:rsid w:val="00E00C4D"/>
    <w:rsid w:val="00E321AE"/>
    <w:rsid w:val="00E44FBB"/>
    <w:rsid w:val="00E92367"/>
    <w:rsid w:val="00EA3873"/>
    <w:rsid w:val="00EF2F3E"/>
    <w:rsid w:val="00F03C9B"/>
    <w:rsid w:val="00F24E36"/>
    <w:rsid w:val="00F25BAC"/>
    <w:rsid w:val="00F32996"/>
    <w:rsid w:val="00F46669"/>
    <w:rsid w:val="00F60287"/>
    <w:rsid w:val="00F66384"/>
    <w:rsid w:val="00F9760D"/>
    <w:rsid w:val="00FA44D2"/>
    <w:rsid w:val="00FB0E80"/>
    <w:rsid w:val="00FD0AD3"/>
    <w:rsid w:val="00FF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45B3A"/>
  <w15:chartTrackingRefBased/>
  <w15:docId w15:val="{E6ABA77E-AF77-4A46-B4FF-BD8D30E8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2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Ayanthy Peiris</dc:creator>
  <cp:keywords/>
  <dc:description/>
  <cp:lastModifiedBy>LAUSD User</cp:lastModifiedBy>
  <cp:revision>2</cp:revision>
  <dcterms:created xsi:type="dcterms:W3CDTF">2025-05-01T16:59:00Z</dcterms:created>
  <dcterms:modified xsi:type="dcterms:W3CDTF">2025-05-01T16:59:00Z</dcterms:modified>
</cp:coreProperties>
</file>