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2555F" w14:textId="45631521" w:rsidR="00CF12DB" w:rsidRDefault="00CF12DB" w:rsidP="00B44D71">
      <w:pPr>
        <w:shd w:val="clear" w:color="auto" w:fill="FFFFFF"/>
        <w:rPr>
          <w:rFonts w:ascii="Arial" w:eastAsia="Times New Roman" w:hAnsi="Arial" w:cs="Arial"/>
          <w:b/>
          <w:bCs/>
          <w:color w:val="1E2328"/>
          <w:sz w:val="28"/>
          <w:szCs w:val="28"/>
          <w:u w:val="single"/>
          <w:lang w:eastAsia="en-GB"/>
        </w:rPr>
      </w:pPr>
      <w:r w:rsidRPr="00CF12DB">
        <w:rPr>
          <w:rFonts w:ascii="Arial" w:eastAsia="Times New Roman" w:hAnsi="Arial" w:cs="Arial"/>
          <w:b/>
          <w:bCs/>
          <w:color w:val="1E2328"/>
          <w:sz w:val="28"/>
          <w:szCs w:val="28"/>
          <w:u w:val="single"/>
          <w:lang w:eastAsia="en-GB"/>
        </w:rPr>
        <w:t>Arts, Music, and Instructional Materials Discretionary Block Grant</w:t>
      </w:r>
    </w:p>
    <w:p w14:paraId="331D645A" w14:textId="71CE52C3" w:rsidR="00B44D71" w:rsidRDefault="00B44D71" w:rsidP="00B44D71">
      <w:pPr>
        <w:shd w:val="clear" w:color="auto" w:fill="FFFFFF"/>
        <w:jc w:val="center"/>
        <w:rPr>
          <w:rFonts w:ascii="Times New Roman" w:eastAsia="Times New Roman" w:hAnsi="Times New Roman" w:cs="Times New Roman"/>
          <w:i/>
          <w:iCs/>
          <w:lang w:eastAsia="en-GB"/>
        </w:rPr>
      </w:pPr>
    </w:p>
    <w:p w14:paraId="30A66408" w14:textId="5B3C4B30" w:rsidR="00CF12DB" w:rsidRPr="00B44D71" w:rsidRDefault="00CF12DB" w:rsidP="000B335E">
      <w:pPr>
        <w:shd w:val="clear" w:color="auto" w:fill="FFFFFF"/>
        <w:contextualSpacing/>
        <w:rPr>
          <w:rFonts w:ascii="Times New Roman" w:eastAsia="Times New Roman" w:hAnsi="Times New Roman" w:cs="Times New Roman"/>
          <w:i/>
          <w:iCs/>
          <w:lang w:eastAsia="en-GB"/>
        </w:rPr>
      </w:pPr>
      <w:r w:rsidRPr="009C361E">
        <w:rPr>
          <w:rFonts w:ascii="Arial" w:eastAsia="Times New Roman" w:hAnsi="Arial" w:cs="Arial"/>
          <w:b/>
          <w:bCs/>
          <w:color w:val="1E2328"/>
          <w:lang w:eastAsia="en-GB"/>
        </w:rPr>
        <w:t>Background:</w:t>
      </w:r>
    </w:p>
    <w:p w14:paraId="24D23ADD" w14:textId="6BB3E968" w:rsidR="00CF12DB" w:rsidRPr="00CF12DB" w:rsidRDefault="00CF12DB" w:rsidP="000B335E">
      <w:pPr>
        <w:numPr>
          <w:ilvl w:val="0"/>
          <w:numId w:val="5"/>
        </w:numPr>
        <w:shd w:val="clear" w:color="auto" w:fill="FFFFFF"/>
        <w:spacing w:before="100" w:beforeAutospacing="1" w:after="100" w:afterAutospacing="1"/>
        <w:contextualSpacing/>
        <w:rPr>
          <w:rFonts w:ascii="Times New Roman" w:eastAsia="Times New Roman" w:hAnsi="Times New Roman" w:cs="Times New Roman"/>
          <w:lang w:eastAsia="en-GB"/>
        </w:rPr>
      </w:pPr>
      <w:r w:rsidRPr="00CF12DB">
        <w:rPr>
          <w:rFonts w:ascii="ArialMT" w:eastAsia="Times New Roman" w:hAnsi="ArialMT" w:cs="Times New Roman"/>
          <w:sz w:val="22"/>
          <w:szCs w:val="22"/>
          <w:lang w:eastAsia="en-GB"/>
        </w:rPr>
        <w:t xml:space="preserve">On June 30, 2022, Governor Gavin Newsom approved AB 181. </w:t>
      </w:r>
    </w:p>
    <w:p w14:paraId="3028F96B" w14:textId="511E497F" w:rsidR="00CF12DB" w:rsidRPr="00CF12DB" w:rsidRDefault="00CF12DB" w:rsidP="00CF12DB">
      <w:pPr>
        <w:numPr>
          <w:ilvl w:val="0"/>
          <w:numId w:val="5"/>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sz w:val="22"/>
          <w:szCs w:val="22"/>
          <w:lang w:eastAsia="en-GB"/>
        </w:rPr>
        <w:t xml:space="preserve">Among other things, the bill established the Arts, Music, and Instructional Materials Discretionary Block Grant. </w:t>
      </w:r>
    </w:p>
    <w:p w14:paraId="1110E262" w14:textId="05BCB7C7" w:rsidR="00CF12DB" w:rsidRPr="00CF12DB" w:rsidRDefault="00CF12DB" w:rsidP="00CF12DB">
      <w:pPr>
        <w:numPr>
          <w:ilvl w:val="0"/>
          <w:numId w:val="5"/>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sz w:val="22"/>
          <w:szCs w:val="22"/>
          <w:lang w:eastAsia="en-GB"/>
        </w:rPr>
        <w:t xml:space="preserve">On September 27, 2022, Governor Newsom approved AB 185, which revised the Arts, Music, and Instructional Materials Discretionary Block Grant. </w:t>
      </w:r>
    </w:p>
    <w:p w14:paraId="02CCD78A" w14:textId="5436FBA7" w:rsidR="00CF12DB" w:rsidRPr="00CF12DB" w:rsidRDefault="00CF12DB" w:rsidP="00CF12DB">
      <w:pPr>
        <w:numPr>
          <w:ilvl w:val="0"/>
          <w:numId w:val="5"/>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sz w:val="22"/>
          <w:szCs w:val="22"/>
          <w:lang w:eastAsia="en-GB"/>
        </w:rPr>
        <w:t xml:space="preserve">The grant allocates $3,560,885,000 to LEAs for five purposes enumerated in Section 134(a) of Chapter 52 of the Statutes of 2022), which may be briefly summarized as: </w:t>
      </w:r>
    </w:p>
    <w:p w14:paraId="07758C7F" w14:textId="70DD7F87" w:rsidR="00CF12DB" w:rsidRPr="00CF12DB" w:rsidRDefault="00CF12DB" w:rsidP="00CF12DB">
      <w:pPr>
        <w:numPr>
          <w:ilvl w:val="0"/>
          <w:numId w:val="5"/>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sz w:val="22"/>
          <w:szCs w:val="22"/>
          <w:lang w:eastAsia="en-GB"/>
        </w:rPr>
        <w:t xml:space="preserve">(1) obtaining standards-aligned professional development and instructional materials for specified subject areas; </w:t>
      </w:r>
    </w:p>
    <w:p w14:paraId="439BA2EE" w14:textId="30DD3C20" w:rsidR="00CF12DB" w:rsidRPr="00CF12DB" w:rsidRDefault="00CF12DB" w:rsidP="00CF12DB">
      <w:pPr>
        <w:numPr>
          <w:ilvl w:val="0"/>
          <w:numId w:val="5"/>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sz w:val="22"/>
          <w:szCs w:val="22"/>
          <w:lang w:eastAsia="en-GB"/>
        </w:rPr>
        <w:t xml:space="preserve">(2) obtaining professional development and instructional materials for improving school climate; </w:t>
      </w:r>
    </w:p>
    <w:p w14:paraId="44C6572C" w14:textId="1AAE6150" w:rsidR="00CF12DB" w:rsidRPr="00CF12DB" w:rsidRDefault="00CF12DB" w:rsidP="00CF12DB">
      <w:pPr>
        <w:numPr>
          <w:ilvl w:val="0"/>
          <w:numId w:val="5"/>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sz w:val="22"/>
          <w:szCs w:val="22"/>
          <w:lang w:eastAsia="en-GB"/>
        </w:rPr>
        <w:t xml:space="preserve">(3) developing diverse, culturally relevant and multilingual school library book collections; </w:t>
      </w:r>
    </w:p>
    <w:p w14:paraId="080B11EC" w14:textId="3818DA8E" w:rsidR="00CF12DB" w:rsidRPr="00CF12DB" w:rsidRDefault="00CF12DB" w:rsidP="00CF12DB">
      <w:pPr>
        <w:numPr>
          <w:ilvl w:val="0"/>
          <w:numId w:val="5"/>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sz w:val="22"/>
          <w:szCs w:val="22"/>
          <w:lang w:eastAsia="en-GB"/>
        </w:rPr>
        <w:t xml:space="preserve">(4) operational costs, including retirement and health care cost increases; and </w:t>
      </w:r>
    </w:p>
    <w:p w14:paraId="4A1A861B" w14:textId="0D679BB8" w:rsidR="00CF12DB" w:rsidRPr="00CF12DB" w:rsidRDefault="00CF12DB" w:rsidP="00CF12DB">
      <w:pPr>
        <w:numPr>
          <w:ilvl w:val="0"/>
          <w:numId w:val="5"/>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sz w:val="22"/>
          <w:szCs w:val="22"/>
          <w:lang w:eastAsia="en-GB"/>
        </w:rPr>
        <w:t xml:space="preserve">(5) COVID-19-related costs necessary to keep pupils and staff safe and schools open for in-person instruction. These funds are available for encumbrance through the 2025–26 fiscal year. Section 134(c) provides that LEAs “are encouraged, but not required” to “proportionally use” their allocation for the five purposes enumerated in Section 134(a)(1)–(5). </w:t>
      </w:r>
    </w:p>
    <w:p w14:paraId="5B6CD53B" w14:textId="4B26428A" w:rsidR="00CF12DB" w:rsidRPr="00CF12DB" w:rsidRDefault="00CF12DB" w:rsidP="00CF12DB">
      <w:pPr>
        <w:numPr>
          <w:ilvl w:val="0"/>
          <w:numId w:val="5"/>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It is the intent of the Legislature that each school district, county office of education, or charter school expend any resources received pursuant to this section consistent with their governing board- or body-approved plan. </w:t>
      </w:r>
    </w:p>
    <w:p w14:paraId="793D3051" w14:textId="42B8E76F" w:rsidR="00CF12DB" w:rsidRPr="00CF12DB" w:rsidRDefault="00CF12DB" w:rsidP="00CF12DB">
      <w:pPr>
        <w:numPr>
          <w:ilvl w:val="0"/>
          <w:numId w:val="5"/>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Each LEA should develop its own plan. The CDE does not intend to provide a template for the plan. </w:t>
      </w:r>
    </w:p>
    <w:p w14:paraId="5ACD9B50" w14:textId="68DD45E3" w:rsidR="00CF12DB" w:rsidRPr="00B44D71" w:rsidRDefault="00CF12DB" w:rsidP="00B44D71">
      <w:pPr>
        <w:numPr>
          <w:ilvl w:val="0"/>
          <w:numId w:val="5"/>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CDE is not approving or denying individual LEA requests for allowable expenditures. All expenditures should be consistent with statute. </w:t>
      </w:r>
    </w:p>
    <w:p w14:paraId="47DC0423" w14:textId="15B6E23D" w:rsidR="00CF12DB" w:rsidRPr="00B44D71" w:rsidRDefault="00CF12DB" w:rsidP="000B335E">
      <w:pPr>
        <w:shd w:val="clear" w:color="auto" w:fill="FFFFFF"/>
        <w:contextualSpacing/>
        <w:rPr>
          <w:rFonts w:ascii="Arial" w:eastAsia="Times New Roman" w:hAnsi="Arial" w:cs="Arial"/>
          <w:b/>
          <w:bCs/>
          <w:lang w:eastAsia="en-GB"/>
        </w:rPr>
      </w:pPr>
      <w:r w:rsidRPr="009C361E">
        <w:rPr>
          <w:rFonts w:ascii="Arial" w:eastAsia="Times New Roman" w:hAnsi="Arial" w:cs="Arial"/>
          <w:b/>
          <w:bCs/>
          <w:lang w:eastAsia="en-GB"/>
        </w:rPr>
        <w:t>Allowable Expenses:</w:t>
      </w:r>
    </w:p>
    <w:p w14:paraId="42321BA0" w14:textId="4B521AD5" w:rsidR="00CF12DB" w:rsidRPr="00CF12DB" w:rsidRDefault="00CF12DB" w:rsidP="000B335E">
      <w:pPr>
        <w:numPr>
          <w:ilvl w:val="0"/>
          <w:numId w:val="3"/>
        </w:numPr>
        <w:shd w:val="clear" w:color="auto" w:fill="FFFFFF"/>
        <w:spacing w:before="100" w:beforeAutospacing="1" w:after="100" w:afterAutospacing="1"/>
        <w:contextualSpacing/>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Pursuant to Section 134(a) of Assembly Bill (AB) 181 (Chapter 52, Statutes of 2022) as amended by Section 56 of AB 185 (Chapter 571, Statutes of 2022), funds are available to: </w:t>
      </w:r>
    </w:p>
    <w:p w14:paraId="175AAC42" w14:textId="1C837922" w:rsidR="00CF12DB" w:rsidRPr="00CF12DB" w:rsidRDefault="009C361E" w:rsidP="00CF12DB">
      <w:pPr>
        <w:numPr>
          <w:ilvl w:val="0"/>
          <w:numId w:val="3"/>
        </w:numPr>
        <w:shd w:val="clear" w:color="auto" w:fill="FFFFFF"/>
        <w:spacing w:before="100" w:beforeAutospacing="1" w:after="100" w:afterAutospacing="1"/>
        <w:rPr>
          <w:rFonts w:ascii="Times New Roman" w:eastAsia="Times New Roman" w:hAnsi="Times New Roman" w:cs="Times New Roman"/>
          <w:lang w:eastAsia="en-GB"/>
        </w:rPr>
      </w:pPr>
      <w:r>
        <w:rPr>
          <w:rFonts w:ascii="ArialMT" w:eastAsia="Times New Roman" w:hAnsi="ArialMT" w:cs="Times New Roman"/>
          <w:lang w:eastAsia="en-GB"/>
        </w:rPr>
        <w:t xml:space="preserve">Obtain standards-aligned professional development and instructional materials, </w:t>
      </w:r>
      <w:r w:rsidR="00CF12DB" w:rsidRPr="00CF12DB">
        <w:rPr>
          <w:rFonts w:ascii="ArialMT" w:eastAsia="Times New Roman" w:hAnsi="ArialMT" w:cs="Times New Roman"/>
          <w:lang w:eastAsia="en-GB"/>
        </w:rPr>
        <w:t xml:space="preserve">in the following subject areas: </w:t>
      </w:r>
    </w:p>
    <w:p w14:paraId="0C8F1F5F" w14:textId="77777777" w:rsidR="00CF12DB" w:rsidRPr="00CF12DB" w:rsidRDefault="00CF12DB" w:rsidP="00CF12DB">
      <w:pPr>
        <w:numPr>
          <w:ilvl w:val="1"/>
          <w:numId w:val="3"/>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  Visual and performing arts </w:t>
      </w:r>
    </w:p>
    <w:p w14:paraId="69B3263F" w14:textId="77777777" w:rsidR="00CF12DB" w:rsidRPr="00CF12DB" w:rsidRDefault="00CF12DB" w:rsidP="00CF12DB">
      <w:pPr>
        <w:numPr>
          <w:ilvl w:val="1"/>
          <w:numId w:val="3"/>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  World languages </w:t>
      </w:r>
    </w:p>
    <w:p w14:paraId="18CF3B92" w14:textId="77777777" w:rsidR="00CF12DB" w:rsidRPr="00CF12DB" w:rsidRDefault="00CF12DB" w:rsidP="00CF12DB">
      <w:pPr>
        <w:numPr>
          <w:ilvl w:val="1"/>
          <w:numId w:val="3"/>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  Mathematics </w:t>
      </w:r>
    </w:p>
    <w:p w14:paraId="612D0D1B" w14:textId="77777777" w:rsidR="00CF12DB" w:rsidRPr="00CF12DB" w:rsidRDefault="00CF12DB" w:rsidP="00CF12DB">
      <w:pPr>
        <w:numPr>
          <w:ilvl w:val="1"/>
          <w:numId w:val="3"/>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  Science, including environmental literacy </w:t>
      </w:r>
    </w:p>
    <w:p w14:paraId="185CA013" w14:textId="77777777" w:rsidR="00CF12DB" w:rsidRPr="00CF12DB" w:rsidRDefault="00CF12DB" w:rsidP="00CF12DB">
      <w:pPr>
        <w:numPr>
          <w:ilvl w:val="1"/>
          <w:numId w:val="3"/>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  English language arts, including early literacy </w:t>
      </w:r>
    </w:p>
    <w:p w14:paraId="3475B585" w14:textId="77777777" w:rsidR="00CF12DB" w:rsidRPr="00CF12DB" w:rsidRDefault="00CF12DB" w:rsidP="00CF12DB">
      <w:pPr>
        <w:numPr>
          <w:ilvl w:val="1"/>
          <w:numId w:val="3"/>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  Ethnic studies </w:t>
      </w:r>
    </w:p>
    <w:p w14:paraId="22C18722" w14:textId="77777777" w:rsidR="00CF12DB" w:rsidRPr="00CF12DB" w:rsidRDefault="00CF12DB" w:rsidP="00CF12DB">
      <w:pPr>
        <w:numPr>
          <w:ilvl w:val="1"/>
          <w:numId w:val="3"/>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  Financial literacy, including the content specified in Section 51284.5 of the California </w:t>
      </w:r>
      <w:r w:rsidRPr="00CF12DB">
        <w:rPr>
          <w:rFonts w:ascii="Arial" w:eastAsia="Times New Roman" w:hAnsi="Arial" w:cs="Arial"/>
          <w:i/>
          <w:iCs/>
          <w:lang w:eastAsia="en-GB"/>
        </w:rPr>
        <w:t xml:space="preserve">Education Code </w:t>
      </w:r>
    </w:p>
    <w:p w14:paraId="7569F8B1" w14:textId="77777777" w:rsidR="00CF12DB" w:rsidRPr="00CF12DB" w:rsidRDefault="00CF12DB" w:rsidP="00CF12DB">
      <w:pPr>
        <w:numPr>
          <w:ilvl w:val="1"/>
          <w:numId w:val="3"/>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  Media Literacy </w:t>
      </w:r>
    </w:p>
    <w:p w14:paraId="7D769A3B" w14:textId="77777777" w:rsidR="00CF12DB" w:rsidRPr="00CF12DB" w:rsidRDefault="00CF12DB" w:rsidP="00CF12DB">
      <w:pPr>
        <w:numPr>
          <w:ilvl w:val="1"/>
          <w:numId w:val="3"/>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  Computer Science </w:t>
      </w:r>
    </w:p>
    <w:p w14:paraId="4A07B40E" w14:textId="77777777" w:rsidR="00CF12DB" w:rsidRPr="00CF12DB" w:rsidRDefault="00CF12DB" w:rsidP="00CF12DB">
      <w:pPr>
        <w:numPr>
          <w:ilvl w:val="1"/>
          <w:numId w:val="3"/>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  History-social science </w:t>
      </w:r>
    </w:p>
    <w:p w14:paraId="6BA0B346" w14:textId="41AA9B00" w:rsidR="00CF12DB" w:rsidRPr="00CF12DB" w:rsidRDefault="009C361E" w:rsidP="000B335E">
      <w:pPr>
        <w:numPr>
          <w:ilvl w:val="0"/>
          <w:numId w:val="3"/>
        </w:numPr>
        <w:shd w:val="clear" w:color="auto" w:fill="FFFFFF"/>
        <w:spacing w:before="100" w:beforeAutospacing="1" w:after="100" w:afterAutospacing="1"/>
        <w:contextualSpacing/>
        <w:rPr>
          <w:rFonts w:ascii="Times New Roman" w:eastAsia="Times New Roman" w:hAnsi="Times New Roman" w:cs="Times New Roman"/>
          <w:lang w:eastAsia="en-GB"/>
        </w:rPr>
      </w:pPr>
      <w:r>
        <w:rPr>
          <w:rFonts w:ascii="ArialMT" w:eastAsia="Times New Roman" w:hAnsi="ArialMT" w:cs="Times New Roman"/>
          <w:lang w:eastAsia="en-GB"/>
        </w:rPr>
        <w:t xml:space="preserve">Obtain instructional materials and professional development aligned to best practices for improving school climate, </w:t>
      </w:r>
      <w:r w:rsidR="00CF12DB" w:rsidRPr="00CF12DB">
        <w:rPr>
          <w:rFonts w:ascii="ArialMT" w:eastAsia="Times New Roman" w:hAnsi="ArialMT" w:cs="Times New Roman"/>
          <w:lang w:eastAsia="en-GB"/>
        </w:rPr>
        <w:t xml:space="preserve">including training on de-escalation and </w:t>
      </w:r>
      <w:r w:rsidR="00CF12DB" w:rsidRPr="00CF12DB">
        <w:rPr>
          <w:rFonts w:ascii="ArialMT" w:eastAsia="Times New Roman" w:hAnsi="ArialMT" w:cs="Times New Roman"/>
          <w:lang w:eastAsia="en-GB"/>
        </w:rPr>
        <w:lastRenderedPageBreak/>
        <w:t>restorative justice strategies, asset-based pedagogies, antibias, transformative social-emotional learning, media literacy, digital literacy, physical education, and learning through</w:t>
      </w:r>
      <w:r w:rsidR="00CF12DB">
        <w:rPr>
          <w:rFonts w:ascii="ArialMT" w:eastAsia="Times New Roman" w:hAnsi="ArialMT" w:cs="Times New Roman"/>
          <w:lang w:eastAsia="en-GB"/>
        </w:rPr>
        <w:t xml:space="preserve"> play. </w:t>
      </w:r>
    </w:p>
    <w:p w14:paraId="7D31ABA4" w14:textId="6B78EF11" w:rsidR="009C361E" w:rsidRPr="00CF12DB" w:rsidRDefault="009C361E" w:rsidP="000B335E">
      <w:pPr>
        <w:numPr>
          <w:ilvl w:val="0"/>
          <w:numId w:val="4"/>
        </w:numPr>
        <w:shd w:val="clear" w:color="auto" w:fill="FFFFFF"/>
        <w:spacing w:before="100" w:beforeAutospacing="1" w:after="100" w:afterAutospacing="1"/>
        <w:contextualSpacing/>
        <w:rPr>
          <w:rFonts w:ascii="Times New Roman" w:eastAsia="Times New Roman" w:hAnsi="Times New Roman" w:cs="Times New Roman"/>
          <w:lang w:eastAsia="en-GB"/>
        </w:rPr>
      </w:pPr>
      <w:r>
        <w:rPr>
          <w:rFonts w:ascii="ArialMT" w:eastAsia="Times New Roman" w:hAnsi="ArialMT" w:cs="Times New Roman"/>
          <w:lang w:eastAsia="en-GB"/>
        </w:rPr>
        <w:t xml:space="preserve">Develop diverse book collections and </w:t>
      </w:r>
      <w:r w:rsidR="00CF12DB" w:rsidRPr="00CF12DB">
        <w:rPr>
          <w:rFonts w:ascii="ArialMT" w:eastAsia="Times New Roman" w:hAnsi="ArialMT" w:cs="Times New Roman"/>
          <w:lang w:eastAsia="en-GB"/>
        </w:rPr>
        <w:t xml:space="preserve">obtain culturally relevant texts, including leveled texts, in both English and pupils’ home languages, to support pupils’ independent reading. It is the intent of the Legislature that these book collections and culturally relevant texts be used to provide support for pupils through the establishment of site-based school and classroom libraries that are culturally relevant to pupils’ home and community experiences and be available in English, pupils’ home language, or a combination of more than one language. </w:t>
      </w:r>
    </w:p>
    <w:p w14:paraId="31273F96" w14:textId="78DD5D29" w:rsidR="00CF12DB" w:rsidRPr="00CF12DB" w:rsidRDefault="009C361E" w:rsidP="00CF12DB">
      <w:pPr>
        <w:numPr>
          <w:ilvl w:val="0"/>
          <w:numId w:val="4"/>
        </w:numPr>
        <w:shd w:val="clear" w:color="auto" w:fill="FFFFFF"/>
        <w:spacing w:before="100" w:beforeAutospacing="1" w:after="100" w:afterAutospacing="1"/>
        <w:rPr>
          <w:rFonts w:ascii="Times New Roman" w:eastAsia="Times New Roman" w:hAnsi="Times New Roman" w:cs="Times New Roman"/>
          <w:lang w:eastAsia="en-GB"/>
        </w:rPr>
      </w:pPr>
      <w:r>
        <w:rPr>
          <w:rFonts w:ascii="ArialMT" w:eastAsia="Times New Roman" w:hAnsi="ArialMT" w:cs="Times New Roman"/>
          <w:lang w:eastAsia="en-GB"/>
        </w:rPr>
        <w:t xml:space="preserve">Operational costs, </w:t>
      </w:r>
      <w:r w:rsidR="00CF12DB" w:rsidRPr="00CF12DB">
        <w:rPr>
          <w:rFonts w:ascii="ArialMT" w:eastAsia="Times New Roman" w:hAnsi="ArialMT" w:cs="Times New Roman"/>
          <w:lang w:eastAsia="en-GB"/>
        </w:rPr>
        <w:t>including but not limited, to</w:t>
      </w:r>
      <w:r>
        <w:rPr>
          <w:rFonts w:ascii="ArialMT" w:eastAsia="Times New Roman" w:hAnsi="ArialMT" w:cs="Times New Roman"/>
          <w:lang w:eastAsia="en-GB"/>
        </w:rPr>
        <w:t xml:space="preserve"> retirement and health care costs increases. </w:t>
      </w:r>
      <w:r w:rsidR="00CF12DB" w:rsidRPr="00CF12DB">
        <w:rPr>
          <w:rFonts w:ascii="ArialMT" w:eastAsia="Times New Roman" w:hAnsi="ArialMT" w:cs="Times New Roman"/>
          <w:lang w:eastAsia="en-GB"/>
        </w:rPr>
        <w:t xml:space="preserve"> </w:t>
      </w:r>
    </w:p>
    <w:p w14:paraId="484A4316" w14:textId="100A0788" w:rsidR="00CF12DB" w:rsidRPr="00CF12DB" w:rsidRDefault="00CF12DB" w:rsidP="00CF12DB">
      <w:pPr>
        <w:numPr>
          <w:ilvl w:val="0"/>
          <w:numId w:val="4"/>
        </w:numPr>
        <w:shd w:val="clear" w:color="auto" w:fill="FFFFFF"/>
        <w:spacing w:before="100" w:beforeAutospacing="1" w:after="100" w:afterAutospacing="1"/>
        <w:rPr>
          <w:rFonts w:ascii="Times New Roman" w:eastAsia="Times New Roman" w:hAnsi="Times New Roman" w:cs="Times New Roman"/>
          <w:lang w:eastAsia="en-GB"/>
        </w:rPr>
      </w:pPr>
      <w:r w:rsidRPr="00CF12DB">
        <w:rPr>
          <w:rFonts w:ascii="ArialMT" w:eastAsia="Times New Roman" w:hAnsi="ArialMT" w:cs="Times New Roman"/>
          <w:lang w:eastAsia="en-GB"/>
        </w:rPr>
        <w:t>As related to the COVID-19 pandemic, acquire personal protective equipment, masks, cleaning supplies, COVID-19 tests, ventilation upgrades, and other similar expenditures, if they are necessary</w:t>
      </w:r>
      <w:r w:rsidR="009C361E">
        <w:rPr>
          <w:rFonts w:ascii="ArialMT" w:eastAsia="Times New Roman" w:hAnsi="ArialMT" w:cs="Times New Roman"/>
          <w:lang w:eastAsia="en-GB"/>
        </w:rPr>
        <w:t xml:space="preserve"> to keep pupils and staff safe from Covid-19 and schools open for in-person instruction. </w:t>
      </w:r>
      <w:r w:rsidRPr="00CF12DB">
        <w:rPr>
          <w:rFonts w:ascii="ArialMT" w:eastAsia="Times New Roman" w:hAnsi="ArialMT" w:cs="Times New Roman"/>
          <w:lang w:eastAsia="en-GB"/>
        </w:rPr>
        <w:t xml:space="preserve"> </w:t>
      </w:r>
    </w:p>
    <w:p w14:paraId="4DFC6589" w14:textId="60C1EF81" w:rsidR="001D25C1" w:rsidRPr="00CF12DB" w:rsidRDefault="00CF12DB" w:rsidP="000B335E">
      <w:pPr>
        <w:shd w:val="clear" w:color="auto" w:fill="FFFFFF"/>
        <w:spacing w:before="100" w:beforeAutospacing="1" w:after="100" w:afterAutospacing="1"/>
        <w:ind w:left="720"/>
        <w:rPr>
          <w:rFonts w:ascii="Times New Roman" w:eastAsia="Times New Roman" w:hAnsi="Times New Roman" w:cs="Times New Roman"/>
          <w:lang w:eastAsia="en-GB"/>
        </w:rPr>
      </w:pPr>
      <w:r w:rsidRPr="00CF12DB">
        <w:rPr>
          <w:rFonts w:ascii="ArialMT" w:eastAsia="Times New Roman" w:hAnsi="ArialMT" w:cs="Times New Roman"/>
          <w:lang w:eastAsia="en-GB"/>
        </w:rPr>
        <w:t xml:space="preserve">Pursuant to Section 134(c), local educational agencies are encouraged, but not required, to proportionally use resources received pursuant to this section for the purposes noted in paragraphs (1) to (5), inclusive, of Section 134(a) and to support arts and music education programs. </w:t>
      </w:r>
    </w:p>
    <w:p w14:paraId="7914804C" w14:textId="1EBB0C43" w:rsidR="00352CF2" w:rsidRDefault="00CF12DB">
      <w:pPr>
        <w:rPr>
          <w:rFonts w:ascii="Arial" w:hAnsi="Arial" w:cs="Arial"/>
          <w:b/>
          <w:bCs/>
        </w:rPr>
      </w:pPr>
      <w:r w:rsidRPr="009C361E">
        <w:rPr>
          <w:rFonts w:ascii="Arial" w:hAnsi="Arial" w:cs="Arial"/>
          <w:b/>
          <w:bCs/>
        </w:rPr>
        <w:t xml:space="preserve">OCS’ </w:t>
      </w:r>
      <w:r w:rsidR="00352CF2" w:rsidRPr="009C361E">
        <w:rPr>
          <w:rFonts w:ascii="Arial" w:hAnsi="Arial" w:cs="Arial"/>
          <w:b/>
          <w:bCs/>
        </w:rPr>
        <w:t>Arts, Music, and Instructional Materials Plan</w:t>
      </w:r>
    </w:p>
    <w:p w14:paraId="08D219AB" w14:textId="77777777" w:rsidR="00B44D71" w:rsidRPr="009C361E" w:rsidRDefault="00B44D71">
      <w:pPr>
        <w:rPr>
          <w:rFonts w:ascii="Arial" w:hAnsi="Arial" w:cs="Arial"/>
          <w:b/>
          <w:bCs/>
        </w:rPr>
      </w:pPr>
    </w:p>
    <w:p w14:paraId="5680C6B0" w14:textId="2267488A" w:rsidR="001D25C1" w:rsidRDefault="001D25C1">
      <w:pPr>
        <w:rPr>
          <w:rFonts w:ascii="Arial" w:hAnsi="Arial" w:cs="Arial"/>
        </w:rPr>
      </w:pPr>
      <w:r w:rsidRPr="009C361E">
        <w:rPr>
          <w:rFonts w:ascii="Arial" w:hAnsi="Arial" w:cs="Arial"/>
        </w:rPr>
        <w:t>Total allocation: $33</w:t>
      </w:r>
      <w:r w:rsidR="00BB7A78" w:rsidRPr="009C361E">
        <w:rPr>
          <w:rFonts w:ascii="Arial" w:hAnsi="Arial" w:cs="Arial"/>
        </w:rPr>
        <w:t>1,159</w:t>
      </w:r>
      <w:r w:rsidRPr="009C361E">
        <w:rPr>
          <w:rFonts w:ascii="Arial" w:hAnsi="Arial" w:cs="Arial"/>
        </w:rPr>
        <w:t xml:space="preserve"> </w:t>
      </w:r>
      <w:r w:rsidR="00B44D71">
        <w:rPr>
          <w:rFonts w:ascii="Arial" w:hAnsi="Arial" w:cs="Arial"/>
        </w:rPr>
        <w:t>t</w:t>
      </w:r>
      <w:r w:rsidRPr="009C361E">
        <w:rPr>
          <w:rFonts w:ascii="Arial" w:hAnsi="Arial" w:cs="Arial"/>
        </w:rPr>
        <w:t>o be used by 6/2026</w:t>
      </w:r>
    </w:p>
    <w:p w14:paraId="6F569E70" w14:textId="37F5BF6B" w:rsidR="009A6489" w:rsidRPr="009A6489" w:rsidRDefault="009A6489">
      <w:pPr>
        <w:rPr>
          <w:rFonts w:ascii="Arial" w:hAnsi="Arial" w:cs="Arial"/>
          <w:color w:val="0070C0"/>
        </w:rPr>
      </w:pPr>
      <w:r>
        <w:rPr>
          <w:rFonts w:ascii="Arial" w:hAnsi="Arial" w:cs="Arial"/>
          <w:color w:val="0070C0"/>
        </w:rPr>
        <w:t>Actual allocation: $312,614</w:t>
      </w:r>
    </w:p>
    <w:p w14:paraId="2E6F6E04" w14:textId="690366F7" w:rsidR="001D25C1" w:rsidRPr="009C361E" w:rsidRDefault="001D25C1">
      <w:pPr>
        <w:rPr>
          <w:rFonts w:ascii="Arial" w:hAnsi="Arial" w:cs="Arial"/>
        </w:rPr>
      </w:pPr>
    </w:p>
    <w:p w14:paraId="429200C6" w14:textId="4CC8DB24" w:rsidR="001D25C1" w:rsidRDefault="009C361E">
      <w:pPr>
        <w:rPr>
          <w:rFonts w:ascii="Arial" w:hAnsi="Arial" w:cs="Arial"/>
        </w:rPr>
      </w:pPr>
      <w:r>
        <w:rPr>
          <w:rFonts w:ascii="Arial" w:hAnsi="Arial" w:cs="Arial"/>
        </w:rPr>
        <w:t>20</w:t>
      </w:r>
      <w:r w:rsidR="001D25C1" w:rsidRPr="009C361E">
        <w:rPr>
          <w:rFonts w:ascii="Arial" w:hAnsi="Arial" w:cs="Arial"/>
        </w:rPr>
        <w:t>22-23</w:t>
      </w:r>
    </w:p>
    <w:p w14:paraId="1C8497C6" w14:textId="77777777" w:rsidR="00060C57" w:rsidRPr="009C361E" w:rsidRDefault="00060C57" w:rsidP="00060C57">
      <w:pPr>
        <w:rPr>
          <w:rFonts w:ascii="Arial" w:hAnsi="Arial" w:cs="Arial"/>
        </w:rPr>
      </w:pPr>
      <w:r w:rsidRPr="009C361E">
        <w:rPr>
          <w:rFonts w:ascii="Arial" w:hAnsi="Arial" w:cs="Arial"/>
        </w:rPr>
        <w:t>Allocated in 22-23: $74,295</w:t>
      </w:r>
    </w:p>
    <w:p w14:paraId="25BF3BC2" w14:textId="77777777" w:rsidR="00060C57" w:rsidRDefault="00060C57" w:rsidP="00060C57">
      <w:pPr>
        <w:rPr>
          <w:rFonts w:ascii="Arial" w:hAnsi="Arial" w:cs="Arial"/>
          <w:color w:val="0070C0"/>
        </w:rPr>
      </w:pPr>
      <w:r>
        <w:rPr>
          <w:rFonts w:ascii="Arial" w:hAnsi="Arial" w:cs="Arial"/>
          <w:color w:val="0070C0"/>
        </w:rPr>
        <w:t>Spent in 22 -23: $76,997</w:t>
      </w:r>
    </w:p>
    <w:p w14:paraId="34643720" w14:textId="77777777" w:rsidR="00060C57" w:rsidRDefault="00060C57" w:rsidP="00060C57">
      <w:pPr>
        <w:rPr>
          <w:rFonts w:ascii="Arial" w:hAnsi="Arial" w:cs="Arial"/>
        </w:rPr>
      </w:pPr>
      <w:r w:rsidRPr="009C361E">
        <w:rPr>
          <w:rFonts w:ascii="Arial" w:hAnsi="Arial" w:cs="Arial"/>
        </w:rPr>
        <w:t>Remaining funds: $2</w:t>
      </w:r>
      <w:r>
        <w:rPr>
          <w:rFonts w:ascii="Arial" w:hAnsi="Arial" w:cs="Arial"/>
        </w:rPr>
        <w:t>35,617</w:t>
      </w:r>
    </w:p>
    <w:p w14:paraId="508BC154" w14:textId="77777777" w:rsidR="00060C57" w:rsidRPr="009C361E" w:rsidRDefault="00060C57">
      <w:pPr>
        <w:rPr>
          <w:rFonts w:ascii="Arial" w:hAnsi="Arial" w:cs="Arial"/>
        </w:rPr>
      </w:pPr>
    </w:p>
    <w:p w14:paraId="7CF1977D" w14:textId="08E8A403" w:rsidR="001D25C1" w:rsidRPr="009C361E" w:rsidRDefault="001D25C1" w:rsidP="001D25C1">
      <w:pPr>
        <w:pStyle w:val="ListParagraph"/>
        <w:numPr>
          <w:ilvl w:val="0"/>
          <w:numId w:val="1"/>
        </w:numPr>
        <w:rPr>
          <w:rFonts w:ascii="Arial" w:hAnsi="Arial" w:cs="Arial"/>
        </w:rPr>
      </w:pPr>
      <w:proofErr w:type="spellStart"/>
      <w:r w:rsidRPr="009C361E">
        <w:rPr>
          <w:rFonts w:ascii="Arial" w:hAnsi="Arial" w:cs="Arial"/>
        </w:rPr>
        <w:t>Gradalis</w:t>
      </w:r>
      <w:proofErr w:type="spellEnd"/>
      <w:r w:rsidRPr="009C361E">
        <w:rPr>
          <w:rFonts w:ascii="Arial" w:hAnsi="Arial" w:cs="Arial"/>
        </w:rPr>
        <w:t xml:space="preserve"> P</w:t>
      </w:r>
      <w:r w:rsidR="00CF12DB" w:rsidRPr="009C361E">
        <w:rPr>
          <w:rFonts w:ascii="Arial" w:hAnsi="Arial" w:cs="Arial"/>
        </w:rPr>
        <w:t>rofessional Development</w:t>
      </w:r>
      <w:r w:rsidRPr="009C361E">
        <w:rPr>
          <w:rFonts w:ascii="Arial" w:hAnsi="Arial" w:cs="Arial"/>
        </w:rPr>
        <w:t xml:space="preserve"> : $42,528.</w:t>
      </w:r>
    </w:p>
    <w:p w14:paraId="2707ADF5" w14:textId="55369BD4" w:rsidR="001D25C1" w:rsidRPr="009C361E" w:rsidRDefault="001D25C1" w:rsidP="001D25C1">
      <w:pPr>
        <w:pStyle w:val="ListParagraph"/>
        <w:numPr>
          <w:ilvl w:val="0"/>
          <w:numId w:val="1"/>
        </w:numPr>
        <w:rPr>
          <w:rFonts w:ascii="Arial" w:hAnsi="Arial" w:cs="Arial"/>
        </w:rPr>
      </w:pPr>
      <w:r w:rsidRPr="009C361E">
        <w:rPr>
          <w:rFonts w:ascii="Arial" w:hAnsi="Arial" w:cs="Arial"/>
        </w:rPr>
        <w:t>Summer P</w:t>
      </w:r>
      <w:r w:rsidR="00CF12DB" w:rsidRPr="009C361E">
        <w:rPr>
          <w:rFonts w:ascii="Arial" w:hAnsi="Arial" w:cs="Arial"/>
        </w:rPr>
        <w:t>rofessional Development</w:t>
      </w:r>
      <w:r w:rsidRPr="009C361E">
        <w:rPr>
          <w:rFonts w:ascii="Arial" w:hAnsi="Arial" w:cs="Arial"/>
        </w:rPr>
        <w:t>: $25,</w:t>
      </w:r>
      <w:r w:rsidR="00AA4E90" w:rsidRPr="009C361E">
        <w:rPr>
          <w:rFonts w:ascii="Arial" w:hAnsi="Arial" w:cs="Arial"/>
        </w:rPr>
        <w:t>185.</w:t>
      </w:r>
    </w:p>
    <w:p w14:paraId="16CFBECB" w14:textId="22B5D659" w:rsidR="001D25C1" w:rsidRPr="009C361E" w:rsidRDefault="001D25C1" w:rsidP="001D25C1">
      <w:pPr>
        <w:pStyle w:val="ListParagraph"/>
        <w:numPr>
          <w:ilvl w:val="0"/>
          <w:numId w:val="1"/>
        </w:numPr>
        <w:rPr>
          <w:rFonts w:ascii="Arial" w:hAnsi="Arial" w:cs="Arial"/>
        </w:rPr>
      </w:pPr>
      <w:r w:rsidRPr="009C361E">
        <w:rPr>
          <w:rFonts w:ascii="Arial" w:hAnsi="Arial" w:cs="Arial"/>
        </w:rPr>
        <w:t>Elective teacher</w:t>
      </w:r>
      <w:r w:rsidR="00CF12DB" w:rsidRPr="009C361E">
        <w:rPr>
          <w:rFonts w:ascii="Arial" w:hAnsi="Arial" w:cs="Arial"/>
        </w:rPr>
        <w:t xml:space="preserve"> salaries</w:t>
      </w:r>
      <w:r w:rsidRPr="009C361E">
        <w:rPr>
          <w:rFonts w:ascii="Arial" w:hAnsi="Arial" w:cs="Arial"/>
        </w:rPr>
        <w:t>: $</w:t>
      </w:r>
      <w:r w:rsidR="00BB7A78" w:rsidRPr="009C361E">
        <w:rPr>
          <w:rFonts w:ascii="Arial" w:hAnsi="Arial" w:cs="Arial"/>
        </w:rPr>
        <w:t>5,575.</w:t>
      </w:r>
    </w:p>
    <w:p w14:paraId="7F126DF0" w14:textId="39F29902" w:rsidR="00AA4E90" w:rsidRPr="009C361E" w:rsidRDefault="00CF12DB" w:rsidP="001D25C1">
      <w:pPr>
        <w:pStyle w:val="ListParagraph"/>
        <w:numPr>
          <w:ilvl w:val="0"/>
          <w:numId w:val="1"/>
        </w:numPr>
        <w:rPr>
          <w:rFonts w:ascii="Arial" w:hAnsi="Arial" w:cs="Arial"/>
        </w:rPr>
      </w:pPr>
      <w:r w:rsidRPr="009C361E">
        <w:rPr>
          <w:rFonts w:ascii="Arial" w:hAnsi="Arial" w:cs="Arial"/>
        </w:rPr>
        <w:t xml:space="preserve">Violin </w:t>
      </w:r>
      <w:r w:rsidR="00AA4E90" w:rsidRPr="009C361E">
        <w:rPr>
          <w:rFonts w:ascii="Arial" w:hAnsi="Arial" w:cs="Arial"/>
        </w:rPr>
        <w:t>Strings repair: $1007.</w:t>
      </w:r>
    </w:p>
    <w:p w14:paraId="4D220AFA" w14:textId="77777777" w:rsidR="00060C57" w:rsidRPr="009A6489" w:rsidRDefault="00060C57" w:rsidP="001D25C1">
      <w:pPr>
        <w:rPr>
          <w:rFonts w:ascii="Arial" w:hAnsi="Arial" w:cs="Arial"/>
          <w:color w:val="0070C0"/>
        </w:rPr>
      </w:pPr>
    </w:p>
    <w:p w14:paraId="128F7A90" w14:textId="77777777" w:rsidR="001D25C1" w:rsidRPr="009C361E" w:rsidRDefault="001D25C1" w:rsidP="001D25C1">
      <w:pPr>
        <w:rPr>
          <w:rFonts w:ascii="Arial" w:hAnsi="Arial" w:cs="Arial"/>
        </w:rPr>
      </w:pPr>
    </w:p>
    <w:p w14:paraId="10F4A830" w14:textId="702A1B99" w:rsidR="001D25C1" w:rsidRDefault="009C361E" w:rsidP="001D25C1">
      <w:pPr>
        <w:rPr>
          <w:rFonts w:ascii="Arial" w:hAnsi="Arial" w:cs="Arial"/>
        </w:rPr>
      </w:pPr>
      <w:r>
        <w:rPr>
          <w:rFonts w:ascii="Arial" w:hAnsi="Arial" w:cs="Arial"/>
        </w:rPr>
        <w:t>20</w:t>
      </w:r>
      <w:r w:rsidR="001D25C1" w:rsidRPr="009C361E">
        <w:rPr>
          <w:rFonts w:ascii="Arial" w:hAnsi="Arial" w:cs="Arial"/>
        </w:rPr>
        <w:t>23- 24</w:t>
      </w:r>
    </w:p>
    <w:p w14:paraId="18C038A1" w14:textId="77777777" w:rsidR="00060C57" w:rsidRPr="0098487F" w:rsidRDefault="00060C57" w:rsidP="00060C57">
      <w:pPr>
        <w:rPr>
          <w:rFonts w:ascii="Arial" w:hAnsi="Arial" w:cs="Arial"/>
          <w:color w:val="0070C0"/>
        </w:rPr>
      </w:pPr>
      <w:r w:rsidRPr="0098487F">
        <w:rPr>
          <w:rFonts w:ascii="Arial" w:hAnsi="Arial" w:cs="Arial"/>
        </w:rPr>
        <w:t>Allocated in 23-24: $</w:t>
      </w:r>
      <w:r w:rsidRPr="0098487F">
        <w:rPr>
          <w:rFonts w:ascii="Arial" w:hAnsi="Arial" w:cs="Arial"/>
          <w:color w:val="0070C0"/>
        </w:rPr>
        <w:t>165,333.</w:t>
      </w:r>
    </w:p>
    <w:p w14:paraId="135E63E8" w14:textId="77777777" w:rsidR="00060C57" w:rsidRPr="0098487F" w:rsidRDefault="00060C57" w:rsidP="00060C57">
      <w:pPr>
        <w:rPr>
          <w:rFonts w:ascii="Arial" w:hAnsi="Arial" w:cs="Arial"/>
          <w:color w:val="0070C0"/>
        </w:rPr>
      </w:pPr>
      <w:r w:rsidRPr="0098487F">
        <w:rPr>
          <w:rFonts w:ascii="Arial" w:hAnsi="Arial" w:cs="Arial"/>
          <w:color w:val="0070C0"/>
        </w:rPr>
        <w:t>Remaining funds: $70,284</w:t>
      </w:r>
    </w:p>
    <w:p w14:paraId="1A71BF2F" w14:textId="77777777" w:rsidR="00060C57" w:rsidRDefault="00060C57" w:rsidP="001D25C1">
      <w:pPr>
        <w:rPr>
          <w:rFonts w:ascii="Arial" w:hAnsi="Arial" w:cs="Arial"/>
        </w:rPr>
      </w:pPr>
    </w:p>
    <w:p w14:paraId="3A66074B" w14:textId="36EC9F63" w:rsidR="00B44D71" w:rsidRPr="0098487F" w:rsidRDefault="00B44D71" w:rsidP="00B44D71">
      <w:pPr>
        <w:pStyle w:val="ListParagraph"/>
        <w:numPr>
          <w:ilvl w:val="0"/>
          <w:numId w:val="1"/>
        </w:numPr>
        <w:rPr>
          <w:rFonts w:ascii="Arial" w:hAnsi="Arial" w:cs="Arial"/>
          <w:color w:val="0070C0"/>
        </w:rPr>
      </w:pPr>
      <w:r w:rsidRPr="0098487F">
        <w:rPr>
          <w:rFonts w:ascii="Arial" w:hAnsi="Arial" w:cs="Arial"/>
          <w:color w:val="0070C0"/>
        </w:rPr>
        <w:t xml:space="preserve">Elective teacher salaries for Leadership, Newspaper, Band, </w:t>
      </w:r>
      <w:r w:rsidR="009E34FE" w:rsidRPr="0098487F">
        <w:rPr>
          <w:rFonts w:ascii="Arial" w:hAnsi="Arial" w:cs="Arial"/>
          <w:color w:val="0070C0"/>
        </w:rPr>
        <w:t xml:space="preserve">Sculpture, </w:t>
      </w:r>
      <w:r w:rsidRPr="0098487F">
        <w:rPr>
          <w:rFonts w:ascii="Arial" w:hAnsi="Arial" w:cs="Arial"/>
          <w:color w:val="0070C0"/>
        </w:rPr>
        <w:t>Percussion, Visual Arts, and Photography: $</w:t>
      </w:r>
      <w:r w:rsidR="009E34FE" w:rsidRPr="0098487F">
        <w:rPr>
          <w:rFonts w:ascii="Arial" w:hAnsi="Arial" w:cs="Arial"/>
          <w:color w:val="0070C0"/>
        </w:rPr>
        <w:t>32,855</w:t>
      </w:r>
    </w:p>
    <w:p w14:paraId="395A4C06" w14:textId="0472573F" w:rsidR="00080CE2" w:rsidRPr="0098487F" w:rsidRDefault="00B44D71" w:rsidP="001D25C1">
      <w:pPr>
        <w:pStyle w:val="ListParagraph"/>
        <w:numPr>
          <w:ilvl w:val="0"/>
          <w:numId w:val="1"/>
        </w:numPr>
        <w:rPr>
          <w:rFonts w:ascii="Arial" w:hAnsi="Arial" w:cs="Arial"/>
          <w:color w:val="0070C0"/>
        </w:rPr>
      </w:pPr>
      <w:r w:rsidRPr="0098487F">
        <w:rPr>
          <w:rFonts w:ascii="Arial" w:hAnsi="Arial" w:cs="Arial"/>
          <w:color w:val="0070C0"/>
        </w:rPr>
        <w:t>Specialty teacher salaries for 100% of Movement 1</w:t>
      </w:r>
      <w:r w:rsidRPr="0098487F">
        <w:rPr>
          <w:rFonts w:ascii="Arial" w:hAnsi="Arial" w:cs="Arial"/>
          <w:color w:val="0070C0"/>
          <w:vertAlign w:val="superscript"/>
        </w:rPr>
        <w:t>st</w:t>
      </w:r>
      <w:r w:rsidRPr="0098487F">
        <w:rPr>
          <w:rFonts w:ascii="Arial" w:hAnsi="Arial" w:cs="Arial"/>
          <w:color w:val="0070C0"/>
        </w:rPr>
        <w:t xml:space="preserve"> – 8</w:t>
      </w:r>
      <w:r w:rsidRPr="0098487F">
        <w:rPr>
          <w:rFonts w:ascii="Arial" w:hAnsi="Arial" w:cs="Arial"/>
          <w:color w:val="0070C0"/>
          <w:vertAlign w:val="superscript"/>
        </w:rPr>
        <w:t>th</w:t>
      </w:r>
      <w:r w:rsidRPr="0098487F">
        <w:rPr>
          <w:rFonts w:ascii="Arial" w:hAnsi="Arial" w:cs="Arial"/>
          <w:color w:val="0070C0"/>
        </w:rPr>
        <w:t xml:space="preserve"> and 85% of Handwork grades 4</w:t>
      </w:r>
      <w:r w:rsidRPr="0098487F">
        <w:rPr>
          <w:rFonts w:ascii="Arial" w:hAnsi="Arial" w:cs="Arial"/>
          <w:color w:val="0070C0"/>
          <w:vertAlign w:val="superscript"/>
        </w:rPr>
        <w:t>th</w:t>
      </w:r>
      <w:r w:rsidRPr="0098487F">
        <w:rPr>
          <w:rFonts w:ascii="Arial" w:hAnsi="Arial" w:cs="Arial"/>
          <w:color w:val="0070C0"/>
        </w:rPr>
        <w:t xml:space="preserve"> – 8</w:t>
      </w:r>
      <w:r w:rsidRPr="0098487F">
        <w:rPr>
          <w:rFonts w:ascii="Arial" w:hAnsi="Arial" w:cs="Arial"/>
          <w:color w:val="0070C0"/>
          <w:vertAlign w:val="superscript"/>
        </w:rPr>
        <w:t>th</w:t>
      </w:r>
      <w:r w:rsidRPr="0098487F">
        <w:rPr>
          <w:rFonts w:ascii="Arial" w:hAnsi="Arial" w:cs="Arial"/>
          <w:color w:val="0070C0"/>
        </w:rPr>
        <w:t>: $</w:t>
      </w:r>
      <w:r w:rsidR="009E34FE" w:rsidRPr="0098487F">
        <w:rPr>
          <w:rFonts w:ascii="Arial" w:hAnsi="Arial" w:cs="Arial"/>
          <w:color w:val="0070C0"/>
        </w:rPr>
        <w:t>79,540</w:t>
      </w:r>
    </w:p>
    <w:p w14:paraId="6D95C89D" w14:textId="2FADE6AF" w:rsidR="000B335E" w:rsidRPr="0098487F" w:rsidRDefault="000B335E" w:rsidP="001D25C1">
      <w:pPr>
        <w:pStyle w:val="ListParagraph"/>
        <w:numPr>
          <w:ilvl w:val="0"/>
          <w:numId w:val="1"/>
        </w:numPr>
        <w:rPr>
          <w:rFonts w:ascii="Arial" w:hAnsi="Arial" w:cs="Arial"/>
          <w:color w:val="0070C0"/>
        </w:rPr>
      </w:pPr>
      <w:r w:rsidRPr="0098487F">
        <w:rPr>
          <w:rFonts w:ascii="Arial" w:hAnsi="Arial" w:cs="Arial"/>
          <w:color w:val="0070C0"/>
        </w:rPr>
        <w:lastRenderedPageBreak/>
        <w:t>Benefits for elective and specialty teachers noted above: $</w:t>
      </w:r>
      <w:r w:rsidR="009E34FE" w:rsidRPr="0098487F">
        <w:rPr>
          <w:rFonts w:ascii="Arial" w:hAnsi="Arial" w:cs="Arial"/>
          <w:color w:val="0070C0"/>
        </w:rPr>
        <w:t>29</w:t>
      </w:r>
      <w:r w:rsidR="0098487F" w:rsidRPr="0098487F">
        <w:rPr>
          <w:rFonts w:ascii="Arial" w:hAnsi="Arial" w:cs="Arial"/>
          <w:color w:val="0070C0"/>
        </w:rPr>
        <w:t>,</w:t>
      </w:r>
      <w:r w:rsidR="009E34FE" w:rsidRPr="0098487F">
        <w:rPr>
          <w:rFonts w:ascii="Arial" w:hAnsi="Arial" w:cs="Arial"/>
          <w:color w:val="0070C0"/>
        </w:rPr>
        <w:t>720</w:t>
      </w:r>
    </w:p>
    <w:p w14:paraId="635B99BC" w14:textId="5D57293A" w:rsidR="00080CE2" w:rsidRPr="0098487F" w:rsidRDefault="00080CE2" w:rsidP="00080CE2">
      <w:pPr>
        <w:pStyle w:val="ListParagraph"/>
        <w:numPr>
          <w:ilvl w:val="0"/>
          <w:numId w:val="1"/>
        </w:numPr>
        <w:rPr>
          <w:rFonts w:ascii="Arial" w:hAnsi="Arial" w:cs="Arial"/>
          <w:color w:val="0070C0"/>
        </w:rPr>
      </w:pPr>
      <w:proofErr w:type="spellStart"/>
      <w:r w:rsidRPr="0098487F">
        <w:rPr>
          <w:rFonts w:ascii="Arial" w:hAnsi="Arial" w:cs="Arial"/>
          <w:color w:val="0070C0"/>
        </w:rPr>
        <w:t>Gradalis</w:t>
      </w:r>
      <w:proofErr w:type="spellEnd"/>
      <w:r w:rsidRPr="0098487F">
        <w:rPr>
          <w:rFonts w:ascii="Arial" w:hAnsi="Arial" w:cs="Arial"/>
          <w:color w:val="0070C0"/>
        </w:rPr>
        <w:t xml:space="preserve"> Professional Development : $</w:t>
      </w:r>
      <w:r w:rsidR="009E34FE" w:rsidRPr="0098487F">
        <w:rPr>
          <w:rFonts w:ascii="Arial" w:hAnsi="Arial" w:cs="Arial"/>
          <w:color w:val="0070C0"/>
        </w:rPr>
        <w:t>23,218</w:t>
      </w:r>
    </w:p>
    <w:p w14:paraId="5F268224" w14:textId="77777777" w:rsidR="00080CE2" w:rsidRPr="009C361E" w:rsidRDefault="00080CE2" w:rsidP="001D25C1">
      <w:pPr>
        <w:rPr>
          <w:rFonts w:ascii="Arial" w:hAnsi="Arial" w:cs="Arial"/>
        </w:rPr>
      </w:pPr>
    </w:p>
    <w:p w14:paraId="7AA47545" w14:textId="1233D127" w:rsidR="00060C57" w:rsidRPr="00060C57" w:rsidRDefault="00060C57" w:rsidP="00226FAF">
      <w:pPr>
        <w:rPr>
          <w:rFonts w:ascii="Arial" w:hAnsi="Arial" w:cs="Arial"/>
          <w:color w:val="0070C0"/>
          <w:highlight w:val="yellow"/>
        </w:rPr>
      </w:pPr>
    </w:p>
    <w:p w14:paraId="10412987" w14:textId="77777777" w:rsidR="00060C57" w:rsidRPr="00060C57" w:rsidRDefault="00060C57" w:rsidP="00226FAF">
      <w:pPr>
        <w:rPr>
          <w:rFonts w:ascii="Arial" w:hAnsi="Arial" w:cs="Arial"/>
          <w:color w:val="000000" w:themeColor="text1"/>
        </w:rPr>
      </w:pPr>
      <w:r w:rsidRPr="00060C57">
        <w:rPr>
          <w:rFonts w:ascii="Arial" w:hAnsi="Arial" w:cs="Arial"/>
          <w:color w:val="000000" w:themeColor="text1"/>
        </w:rPr>
        <w:t>2024-25</w:t>
      </w:r>
    </w:p>
    <w:p w14:paraId="68EB8D06" w14:textId="7F1B6872" w:rsidR="00060C57" w:rsidRPr="0098487F" w:rsidRDefault="00060C57" w:rsidP="00226FAF">
      <w:pPr>
        <w:rPr>
          <w:rFonts w:ascii="Arial" w:hAnsi="Arial" w:cs="Arial"/>
          <w:color w:val="0070C0"/>
        </w:rPr>
      </w:pPr>
      <w:r w:rsidRPr="0098487F">
        <w:rPr>
          <w:rFonts w:ascii="Arial" w:hAnsi="Arial" w:cs="Arial"/>
          <w:color w:val="0070C0"/>
        </w:rPr>
        <w:t>Allocated in 24 - 25: $</w:t>
      </w:r>
      <w:r w:rsidR="009E34FE" w:rsidRPr="0098487F">
        <w:rPr>
          <w:rFonts w:ascii="Arial" w:hAnsi="Arial" w:cs="Arial"/>
          <w:color w:val="0070C0"/>
        </w:rPr>
        <w:t>24,133</w:t>
      </w:r>
    </w:p>
    <w:p w14:paraId="3B63ABE8" w14:textId="72BCDC52" w:rsidR="00060C57" w:rsidRPr="0098487F" w:rsidRDefault="009E34FE" w:rsidP="00226FAF">
      <w:pPr>
        <w:rPr>
          <w:rFonts w:ascii="Arial" w:hAnsi="Arial" w:cs="Arial"/>
          <w:color w:val="0070C0"/>
        </w:rPr>
      </w:pPr>
      <w:r w:rsidRPr="0098487F">
        <w:rPr>
          <w:rFonts w:ascii="Arial" w:hAnsi="Arial" w:cs="Arial"/>
          <w:color w:val="0070C0"/>
        </w:rPr>
        <w:t>Remaining funds: $46,151</w:t>
      </w:r>
    </w:p>
    <w:p w14:paraId="1C363D33" w14:textId="2C300797" w:rsidR="00060C57" w:rsidRDefault="007E6B1A" w:rsidP="00060C57">
      <w:pPr>
        <w:pStyle w:val="ListParagraph"/>
        <w:numPr>
          <w:ilvl w:val="0"/>
          <w:numId w:val="1"/>
        </w:numPr>
        <w:rPr>
          <w:rFonts w:ascii="Arial" w:hAnsi="Arial" w:cs="Arial"/>
          <w:color w:val="0070C0"/>
        </w:rPr>
      </w:pPr>
      <w:proofErr w:type="spellStart"/>
      <w:r w:rsidRPr="0098487F">
        <w:rPr>
          <w:rFonts w:ascii="Arial" w:hAnsi="Arial" w:cs="Arial"/>
          <w:color w:val="0070C0"/>
        </w:rPr>
        <w:t>Gradalis</w:t>
      </w:r>
      <w:proofErr w:type="spellEnd"/>
      <w:r w:rsidRPr="0098487F">
        <w:rPr>
          <w:rFonts w:ascii="Arial" w:hAnsi="Arial" w:cs="Arial"/>
          <w:color w:val="0070C0"/>
        </w:rPr>
        <w:t xml:space="preserve"> Professional Development</w:t>
      </w:r>
      <w:r w:rsidR="0098487F">
        <w:rPr>
          <w:rFonts w:ascii="Arial" w:hAnsi="Arial" w:cs="Arial"/>
          <w:color w:val="0070C0"/>
        </w:rPr>
        <w:t>: $12,066.50</w:t>
      </w:r>
    </w:p>
    <w:p w14:paraId="6B808BE4" w14:textId="69313A23" w:rsidR="0098487F" w:rsidRPr="0098487F" w:rsidRDefault="0098487F" w:rsidP="00060C57">
      <w:pPr>
        <w:pStyle w:val="ListParagraph"/>
        <w:numPr>
          <w:ilvl w:val="0"/>
          <w:numId w:val="1"/>
        </w:numPr>
        <w:rPr>
          <w:rFonts w:ascii="Arial" w:hAnsi="Arial" w:cs="Arial"/>
          <w:color w:val="0070C0"/>
        </w:rPr>
      </w:pPr>
      <w:r>
        <w:rPr>
          <w:rFonts w:ascii="Arial" w:hAnsi="Arial" w:cs="Arial"/>
          <w:color w:val="0070C0"/>
        </w:rPr>
        <w:t>Summer Professional Development: $12,066.50</w:t>
      </w:r>
    </w:p>
    <w:p w14:paraId="1E00DE0C" w14:textId="2EE2D0E6" w:rsidR="00060C57" w:rsidRDefault="00060C57" w:rsidP="00060C57">
      <w:pPr>
        <w:rPr>
          <w:rFonts w:ascii="Arial" w:hAnsi="Arial" w:cs="Arial"/>
          <w:color w:val="0070C0"/>
          <w:highlight w:val="yellow"/>
        </w:rPr>
      </w:pPr>
    </w:p>
    <w:p w14:paraId="4E74CB84" w14:textId="23574F63" w:rsidR="00060C57" w:rsidRPr="00060C57" w:rsidRDefault="00060C57" w:rsidP="00060C57">
      <w:pPr>
        <w:rPr>
          <w:rFonts w:ascii="Arial" w:hAnsi="Arial" w:cs="Arial"/>
          <w:color w:val="000000" w:themeColor="text1"/>
        </w:rPr>
      </w:pPr>
      <w:r w:rsidRPr="00060C57">
        <w:rPr>
          <w:rFonts w:ascii="Arial" w:hAnsi="Arial" w:cs="Arial"/>
          <w:color w:val="000000" w:themeColor="text1"/>
        </w:rPr>
        <w:t>2025-26</w:t>
      </w:r>
    </w:p>
    <w:p w14:paraId="24C09971" w14:textId="13838B28" w:rsidR="00060C57" w:rsidRPr="0098487F" w:rsidRDefault="00060C57" w:rsidP="00226FAF">
      <w:pPr>
        <w:rPr>
          <w:rFonts w:ascii="Arial" w:hAnsi="Arial" w:cs="Arial"/>
          <w:color w:val="0070C0"/>
        </w:rPr>
      </w:pPr>
      <w:r w:rsidRPr="0098487F">
        <w:rPr>
          <w:rFonts w:ascii="Arial" w:hAnsi="Arial" w:cs="Arial"/>
          <w:color w:val="0070C0"/>
        </w:rPr>
        <w:t>Allocated in 25 - 26: $</w:t>
      </w:r>
      <w:r w:rsidR="007E6B1A" w:rsidRPr="0098487F">
        <w:rPr>
          <w:rFonts w:ascii="Arial" w:hAnsi="Arial" w:cs="Arial"/>
          <w:color w:val="0070C0"/>
        </w:rPr>
        <w:t>46,151</w:t>
      </w:r>
    </w:p>
    <w:p w14:paraId="0435D9A5" w14:textId="5F2A68DE" w:rsidR="00060C57" w:rsidRPr="0098487F" w:rsidRDefault="00060C57" w:rsidP="00226FAF">
      <w:pPr>
        <w:rPr>
          <w:rFonts w:ascii="Arial" w:hAnsi="Arial" w:cs="Arial"/>
          <w:color w:val="0070C0"/>
        </w:rPr>
      </w:pPr>
      <w:r w:rsidRPr="0098487F">
        <w:rPr>
          <w:rFonts w:ascii="Arial" w:hAnsi="Arial" w:cs="Arial"/>
          <w:color w:val="0070C0"/>
        </w:rPr>
        <w:t>Remaining funds: $</w:t>
      </w:r>
      <w:r w:rsidR="007E6B1A" w:rsidRPr="0098487F">
        <w:rPr>
          <w:rFonts w:ascii="Arial" w:hAnsi="Arial" w:cs="Arial"/>
          <w:color w:val="0070C0"/>
        </w:rPr>
        <w:t>0</w:t>
      </w:r>
    </w:p>
    <w:p w14:paraId="132C281C" w14:textId="77777777" w:rsidR="0098487F" w:rsidRPr="0098487F" w:rsidRDefault="007E6B1A" w:rsidP="00060C57">
      <w:pPr>
        <w:pStyle w:val="ListParagraph"/>
        <w:numPr>
          <w:ilvl w:val="0"/>
          <w:numId w:val="1"/>
        </w:numPr>
        <w:rPr>
          <w:rFonts w:ascii="Arial" w:hAnsi="Arial" w:cs="Arial"/>
          <w:color w:val="0070C0"/>
        </w:rPr>
      </w:pPr>
      <w:proofErr w:type="spellStart"/>
      <w:r w:rsidRPr="0098487F">
        <w:rPr>
          <w:rFonts w:ascii="Arial" w:hAnsi="Arial" w:cs="Arial"/>
          <w:color w:val="0070C0"/>
        </w:rPr>
        <w:t>Gradalis</w:t>
      </w:r>
      <w:proofErr w:type="spellEnd"/>
      <w:r w:rsidRPr="0098487F">
        <w:rPr>
          <w:rFonts w:ascii="Arial" w:hAnsi="Arial" w:cs="Arial"/>
          <w:color w:val="0070C0"/>
        </w:rPr>
        <w:t xml:space="preserve"> Professional Development </w:t>
      </w:r>
      <w:r w:rsidR="00DF23E4" w:rsidRPr="0098487F">
        <w:rPr>
          <w:rFonts w:ascii="Arial" w:hAnsi="Arial" w:cs="Arial"/>
          <w:color w:val="0070C0"/>
        </w:rPr>
        <w:t xml:space="preserve">$24,927 </w:t>
      </w:r>
    </w:p>
    <w:p w14:paraId="6E298E85" w14:textId="3FCA5DE8" w:rsidR="00060C57" w:rsidRPr="00060C57" w:rsidRDefault="0098487F" w:rsidP="00060C57">
      <w:pPr>
        <w:pStyle w:val="ListParagraph"/>
        <w:numPr>
          <w:ilvl w:val="0"/>
          <w:numId w:val="1"/>
        </w:numPr>
        <w:rPr>
          <w:rFonts w:ascii="Arial" w:hAnsi="Arial" w:cs="Arial"/>
          <w:color w:val="0070C0"/>
        </w:rPr>
      </w:pPr>
      <w:r w:rsidRPr="0098487F">
        <w:rPr>
          <w:rFonts w:ascii="Arial" w:hAnsi="Arial" w:cs="Arial"/>
          <w:color w:val="0070C0"/>
        </w:rPr>
        <w:t xml:space="preserve">Summer Professional Development </w:t>
      </w:r>
      <w:r w:rsidR="00DF23E4" w:rsidRPr="0098487F">
        <w:rPr>
          <w:rFonts w:ascii="Arial" w:hAnsi="Arial" w:cs="Arial"/>
          <w:color w:val="0070C0"/>
        </w:rPr>
        <w:t>$21,224</w:t>
      </w:r>
    </w:p>
    <w:p w14:paraId="363563ED" w14:textId="48072F41" w:rsidR="009A6489" w:rsidRPr="009A6489" w:rsidRDefault="009A6489" w:rsidP="00B44D71">
      <w:pPr>
        <w:rPr>
          <w:rFonts w:ascii="Arial" w:hAnsi="Arial" w:cs="Arial"/>
          <w:color w:val="0070C0"/>
        </w:rPr>
      </w:pPr>
    </w:p>
    <w:sectPr w:rsidR="009A6489" w:rsidRPr="009A6489" w:rsidSect="0065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70EC2"/>
    <w:multiLevelType w:val="multilevel"/>
    <w:tmpl w:val="AE0E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43ECF"/>
    <w:multiLevelType w:val="hybridMultilevel"/>
    <w:tmpl w:val="2168D904"/>
    <w:lvl w:ilvl="0" w:tplc="6882E2EC">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951DAE"/>
    <w:multiLevelType w:val="multilevel"/>
    <w:tmpl w:val="B62A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A70E7"/>
    <w:multiLevelType w:val="multilevel"/>
    <w:tmpl w:val="1ADA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F278D8"/>
    <w:multiLevelType w:val="multilevel"/>
    <w:tmpl w:val="9B9C4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3E35E8"/>
    <w:multiLevelType w:val="multilevel"/>
    <w:tmpl w:val="A9A4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5C1"/>
    <w:rsid w:val="00060C57"/>
    <w:rsid w:val="00080CE2"/>
    <w:rsid w:val="000B335E"/>
    <w:rsid w:val="001D25C1"/>
    <w:rsid w:val="00226FAF"/>
    <w:rsid w:val="00352CF2"/>
    <w:rsid w:val="003B7395"/>
    <w:rsid w:val="00427A2C"/>
    <w:rsid w:val="0052226B"/>
    <w:rsid w:val="005355BF"/>
    <w:rsid w:val="00563E7D"/>
    <w:rsid w:val="006539D7"/>
    <w:rsid w:val="0067418C"/>
    <w:rsid w:val="007E6B1A"/>
    <w:rsid w:val="008D4D45"/>
    <w:rsid w:val="0098487F"/>
    <w:rsid w:val="009A6489"/>
    <w:rsid w:val="009C361E"/>
    <w:rsid w:val="009E34FE"/>
    <w:rsid w:val="00A32233"/>
    <w:rsid w:val="00A4302B"/>
    <w:rsid w:val="00AA4E90"/>
    <w:rsid w:val="00B44D71"/>
    <w:rsid w:val="00BB7A78"/>
    <w:rsid w:val="00C40C49"/>
    <w:rsid w:val="00CF12DB"/>
    <w:rsid w:val="00D3791B"/>
    <w:rsid w:val="00DC4E21"/>
    <w:rsid w:val="00DF23E4"/>
    <w:rsid w:val="00E53E10"/>
    <w:rsid w:val="00F0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4EE6"/>
  <w15:chartTrackingRefBased/>
  <w15:docId w15:val="{DE50722C-86B9-8248-BEE2-7882B181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5C1"/>
    <w:pPr>
      <w:ind w:left="720"/>
      <w:contextualSpacing/>
    </w:pPr>
  </w:style>
  <w:style w:type="paragraph" w:styleId="NormalWeb">
    <w:name w:val="Normal (Web)"/>
    <w:basedOn w:val="Normal"/>
    <w:uiPriority w:val="99"/>
    <w:semiHidden/>
    <w:unhideWhenUsed/>
    <w:rsid w:val="00CF12D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55089">
      <w:bodyDiv w:val="1"/>
      <w:marLeft w:val="0"/>
      <w:marRight w:val="0"/>
      <w:marTop w:val="0"/>
      <w:marBottom w:val="0"/>
      <w:divBdr>
        <w:top w:val="none" w:sz="0" w:space="0" w:color="auto"/>
        <w:left w:val="none" w:sz="0" w:space="0" w:color="auto"/>
        <w:bottom w:val="none" w:sz="0" w:space="0" w:color="auto"/>
        <w:right w:val="none" w:sz="0" w:space="0" w:color="auto"/>
      </w:divBdr>
      <w:divsChild>
        <w:div w:id="1327511459">
          <w:marLeft w:val="0"/>
          <w:marRight w:val="0"/>
          <w:marTop w:val="0"/>
          <w:marBottom w:val="0"/>
          <w:divBdr>
            <w:top w:val="none" w:sz="0" w:space="0" w:color="auto"/>
            <w:left w:val="none" w:sz="0" w:space="0" w:color="auto"/>
            <w:bottom w:val="none" w:sz="0" w:space="0" w:color="auto"/>
            <w:right w:val="none" w:sz="0" w:space="0" w:color="auto"/>
          </w:divBdr>
          <w:divsChild>
            <w:div w:id="1360085602">
              <w:marLeft w:val="0"/>
              <w:marRight w:val="0"/>
              <w:marTop w:val="0"/>
              <w:marBottom w:val="0"/>
              <w:divBdr>
                <w:top w:val="none" w:sz="0" w:space="0" w:color="auto"/>
                <w:left w:val="none" w:sz="0" w:space="0" w:color="auto"/>
                <w:bottom w:val="none" w:sz="0" w:space="0" w:color="auto"/>
                <w:right w:val="none" w:sz="0" w:space="0" w:color="auto"/>
              </w:divBdr>
              <w:divsChild>
                <w:div w:id="1810779236">
                  <w:marLeft w:val="0"/>
                  <w:marRight w:val="0"/>
                  <w:marTop w:val="0"/>
                  <w:marBottom w:val="0"/>
                  <w:divBdr>
                    <w:top w:val="none" w:sz="0" w:space="0" w:color="auto"/>
                    <w:left w:val="none" w:sz="0" w:space="0" w:color="auto"/>
                    <w:bottom w:val="none" w:sz="0" w:space="0" w:color="auto"/>
                    <w:right w:val="none" w:sz="0" w:space="0" w:color="auto"/>
                  </w:divBdr>
                  <w:divsChild>
                    <w:div w:id="1182401782">
                      <w:marLeft w:val="0"/>
                      <w:marRight w:val="0"/>
                      <w:marTop w:val="0"/>
                      <w:marBottom w:val="0"/>
                      <w:divBdr>
                        <w:top w:val="none" w:sz="0" w:space="0" w:color="auto"/>
                        <w:left w:val="none" w:sz="0" w:space="0" w:color="auto"/>
                        <w:bottom w:val="none" w:sz="0" w:space="0" w:color="auto"/>
                        <w:right w:val="none" w:sz="0" w:space="0" w:color="auto"/>
                      </w:divBdr>
                    </w:div>
                  </w:divsChild>
                </w:div>
                <w:div w:id="1571887844">
                  <w:marLeft w:val="0"/>
                  <w:marRight w:val="0"/>
                  <w:marTop w:val="0"/>
                  <w:marBottom w:val="0"/>
                  <w:divBdr>
                    <w:top w:val="none" w:sz="0" w:space="0" w:color="auto"/>
                    <w:left w:val="none" w:sz="0" w:space="0" w:color="auto"/>
                    <w:bottom w:val="none" w:sz="0" w:space="0" w:color="auto"/>
                    <w:right w:val="none" w:sz="0" w:space="0" w:color="auto"/>
                  </w:divBdr>
                  <w:divsChild>
                    <w:div w:id="1066682545">
                      <w:marLeft w:val="0"/>
                      <w:marRight w:val="0"/>
                      <w:marTop w:val="0"/>
                      <w:marBottom w:val="0"/>
                      <w:divBdr>
                        <w:top w:val="none" w:sz="0" w:space="0" w:color="auto"/>
                        <w:left w:val="none" w:sz="0" w:space="0" w:color="auto"/>
                        <w:bottom w:val="none" w:sz="0" w:space="0" w:color="auto"/>
                        <w:right w:val="none" w:sz="0" w:space="0" w:color="auto"/>
                      </w:divBdr>
                    </w:div>
                  </w:divsChild>
                </w:div>
                <w:div w:id="1507557130">
                  <w:marLeft w:val="0"/>
                  <w:marRight w:val="0"/>
                  <w:marTop w:val="0"/>
                  <w:marBottom w:val="0"/>
                  <w:divBdr>
                    <w:top w:val="none" w:sz="0" w:space="0" w:color="auto"/>
                    <w:left w:val="none" w:sz="0" w:space="0" w:color="auto"/>
                    <w:bottom w:val="none" w:sz="0" w:space="0" w:color="auto"/>
                    <w:right w:val="none" w:sz="0" w:space="0" w:color="auto"/>
                  </w:divBdr>
                  <w:divsChild>
                    <w:div w:id="5651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3455">
          <w:marLeft w:val="0"/>
          <w:marRight w:val="0"/>
          <w:marTop w:val="0"/>
          <w:marBottom w:val="0"/>
          <w:divBdr>
            <w:top w:val="none" w:sz="0" w:space="0" w:color="auto"/>
            <w:left w:val="none" w:sz="0" w:space="0" w:color="auto"/>
            <w:bottom w:val="none" w:sz="0" w:space="0" w:color="auto"/>
            <w:right w:val="none" w:sz="0" w:space="0" w:color="auto"/>
          </w:divBdr>
          <w:divsChild>
            <w:div w:id="1837844338">
              <w:marLeft w:val="0"/>
              <w:marRight w:val="0"/>
              <w:marTop w:val="0"/>
              <w:marBottom w:val="0"/>
              <w:divBdr>
                <w:top w:val="none" w:sz="0" w:space="0" w:color="auto"/>
                <w:left w:val="none" w:sz="0" w:space="0" w:color="auto"/>
                <w:bottom w:val="none" w:sz="0" w:space="0" w:color="auto"/>
                <w:right w:val="none" w:sz="0" w:space="0" w:color="auto"/>
              </w:divBdr>
              <w:divsChild>
                <w:div w:id="1915431388">
                  <w:marLeft w:val="0"/>
                  <w:marRight w:val="0"/>
                  <w:marTop w:val="0"/>
                  <w:marBottom w:val="0"/>
                  <w:divBdr>
                    <w:top w:val="none" w:sz="0" w:space="0" w:color="auto"/>
                    <w:left w:val="none" w:sz="0" w:space="0" w:color="auto"/>
                    <w:bottom w:val="none" w:sz="0" w:space="0" w:color="auto"/>
                    <w:right w:val="none" w:sz="0" w:space="0" w:color="auto"/>
                  </w:divBdr>
                  <w:divsChild>
                    <w:div w:id="897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2665">
          <w:marLeft w:val="0"/>
          <w:marRight w:val="0"/>
          <w:marTop w:val="0"/>
          <w:marBottom w:val="0"/>
          <w:divBdr>
            <w:top w:val="none" w:sz="0" w:space="0" w:color="auto"/>
            <w:left w:val="none" w:sz="0" w:space="0" w:color="auto"/>
            <w:bottom w:val="none" w:sz="0" w:space="0" w:color="auto"/>
            <w:right w:val="none" w:sz="0" w:space="0" w:color="auto"/>
          </w:divBdr>
          <w:divsChild>
            <w:div w:id="1656952246">
              <w:marLeft w:val="0"/>
              <w:marRight w:val="0"/>
              <w:marTop w:val="0"/>
              <w:marBottom w:val="0"/>
              <w:divBdr>
                <w:top w:val="none" w:sz="0" w:space="0" w:color="auto"/>
                <w:left w:val="none" w:sz="0" w:space="0" w:color="auto"/>
                <w:bottom w:val="none" w:sz="0" w:space="0" w:color="auto"/>
                <w:right w:val="none" w:sz="0" w:space="0" w:color="auto"/>
              </w:divBdr>
              <w:divsChild>
                <w:div w:id="2046755356">
                  <w:marLeft w:val="0"/>
                  <w:marRight w:val="0"/>
                  <w:marTop w:val="0"/>
                  <w:marBottom w:val="0"/>
                  <w:divBdr>
                    <w:top w:val="none" w:sz="0" w:space="0" w:color="auto"/>
                    <w:left w:val="none" w:sz="0" w:space="0" w:color="auto"/>
                    <w:bottom w:val="none" w:sz="0" w:space="0" w:color="auto"/>
                    <w:right w:val="none" w:sz="0" w:space="0" w:color="auto"/>
                  </w:divBdr>
                  <w:divsChild>
                    <w:div w:id="20369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58543">
      <w:bodyDiv w:val="1"/>
      <w:marLeft w:val="0"/>
      <w:marRight w:val="0"/>
      <w:marTop w:val="0"/>
      <w:marBottom w:val="0"/>
      <w:divBdr>
        <w:top w:val="none" w:sz="0" w:space="0" w:color="auto"/>
        <w:left w:val="none" w:sz="0" w:space="0" w:color="auto"/>
        <w:bottom w:val="none" w:sz="0" w:space="0" w:color="auto"/>
        <w:right w:val="none" w:sz="0" w:space="0" w:color="auto"/>
      </w:divBdr>
      <w:divsChild>
        <w:div w:id="874268094">
          <w:marLeft w:val="0"/>
          <w:marRight w:val="0"/>
          <w:marTop w:val="0"/>
          <w:marBottom w:val="0"/>
          <w:divBdr>
            <w:top w:val="none" w:sz="0" w:space="0" w:color="auto"/>
            <w:left w:val="none" w:sz="0" w:space="0" w:color="auto"/>
            <w:bottom w:val="none" w:sz="0" w:space="0" w:color="auto"/>
            <w:right w:val="none" w:sz="0" w:space="0" w:color="auto"/>
          </w:divBdr>
          <w:divsChild>
            <w:div w:id="2054882486">
              <w:marLeft w:val="0"/>
              <w:marRight w:val="0"/>
              <w:marTop w:val="0"/>
              <w:marBottom w:val="0"/>
              <w:divBdr>
                <w:top w:val="none" w:sz="0" w:space="0" w:color="auto"/>
                <w:left w:val="none" w:sz="0" w:space="0" w:color="auto"/>
                <w:bottom w:val="none" w:sz="0" w:space="0" w:color="auto"/>
                <w:right w:val="none" w:sz="0" w:space="0" w:color="auto"/>
              </w:divBdr>
              <w:divsChild>
                <w:div w:id="1943881329">
                  <w:marLeft w:val="0"/>
                  <w:marRight w:val="0"/>
                  <w:marTop w:val="0"/>
                  <w:marBottom w:val="0"/>
                  <w:divBdr>
                    <w:top w:val="none" w:sz="0" w:space="0" w:color="auto"/>
                    <w:left w:val="none" w:sz="0" w:space="0" w:color="auto"/>
                    <w:bottom w:val="none" w:sz="0" w:space="0" w:color="auto"/>
                    <w:right w:val="none" w:sz="0" w:space="0" w:color="auto"/>
                  </w:divBdr>
                  <w:divsChild>
                    <w:div w:id="21101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150746">
      <w:bodyDiv w:val="1"/>
      <w:marLeft w:val="0"/>
      <w:marRight w:val="0"/>
      <w:marTop w:val="0"/>
      <w:marBottom w:val="0"/>
      <w:divBdr>
        <w:top w:val="none" w:sz="0" w:space="0" w:color="auto"/>
        <w:left w:val="none" w:sz="0" w:space="0" w:color="auto"/>
        <w:bottom w:val="none" w:sz="0" w:space="0" w:color="auto"/>
        <w:right w:val="none" w:sz="0" w:space="0" w:color="auto"/>
      </w:divBdr>
      <w:divsChild>
        <w:div w:id="826825345">
          <w:marLeft w:val="0"/>
          <w:marRight w:val="0"/>
          <w:marTop w:val="0"/>
          <w:marBottom w:val="0"/>
          <w:divBdr>
            <w:top w:val="none" w:sz="0" w:space="0" w:color="auto"/>
            <w:left w:val="none" w:sz="0" w:space="0" w:color="auto"/>
            <w:bottom w:val="none" w:sz="0" w:space="0" w:color="auto"/>
            <w:right w:val="none" w:sz="0" w:space="0" w:color="auto"/>
          </w:divBdr>
          <w:divsChild>
            <w:div w:id="1777402971">
              <w:marLeft w:val="0"/>
              <w:marRight w:val="0"/>
              <w:marTop w:val="0"/>
              <w:marBottom w:val="0"/>
              <w:divBdr>
                <w:top w:val="none" w:sz="0" w:space="0" w:color="auto"/>
                <w:left w:val="none" w:sz="0" w:space="0" w:color="auto"/>
                <w:bottom w:val="none" w:sz="0" w:space="0" w:color="auto"/>
                <w:right w:val="none" w:sz="0" w:space="0" w:color="auto"/>
              </w:divBdr>
              <w:divsChild>
                <w:div w:id="653295517">
                  <w:marLeft w:val="0"/>
                  <w:marRight w:val="0"/>
                  <w:marTop w:val="0"/>
                  <w:marBottom w:val="0"/>
                  <w:divBdr>
                    <w:top w:val="none" w:sz="0" w:space="0" w:color="auto"/>
                    <w:left w:val="none" w:sz="0" w:space="0" w:color="auto"/>
                    <w:bottom w:val="none" w:sz="0" w:space="0" w:color="auto"/>
                    <w:right w:val="none" w:sz="0" w:space="0" w:color="auto"/>
                  </w:divBdr>
                  <w:divsChild>
                    <w:div w:id="9810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 User</dc:creator>
  <cp:keywords/>
  <dc:description/>
  <cp:lastModifiedBy>LAUSD User</cp:lastModifiedBy>
  <cp:revision>2</cp:revision>
  <dcterms:created xsi:type="dcterms:W3CDTF">2023-10-30T23:57:00Z</dcterms:created>
  <dcterms:modified xsi:type="dcterms:W3CDTF">2023-10-30T23:57:00Z</dcterms:modified>
</cp:coreProperties>
</file>